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1D" w:rsidRPr="005D6D4A" w:rsidRDefault="0096661D" w:rsidP="0096661D">
      <w:pPr>
        <w:widowControl/>
        <w:spacing w:afterLines="50" w:after="180"/>
        <w:ind w:rightChars="-117" w:right="-281"/>
        <w:jc w:val="center"/>
        <w:rPr>
          <w:rFonts w:ascii="標楷體" w:eastAsia="標楷體" w:hAnsi="標楷體"/>
          <w:b/>
          <w:color w:val="000000" w:themeColor="text1"/>
          <w:sz w:val="36"/>
          <w:szCs w:val="36"/>
        </w:rPr>
      </w:pPr>
      <w:bookmarkStart w:id="0" w:name="_GoBack"/>
      <w:bookmarkEnd w:id="0"/>
      <w:r w:rsidRPr="005D6D4A">
        <w:rPr>
          <w:rFonts w:ascii="標楷體" w:eastAsia="標楷體" w:hAnsi="標楷體" w:hint="eastAsia"/>
          <w:b/>
          <w:color w:val="000000" w:themeColor="text1"/>
          <w:sz w:val="36"/>
          <w:szCs w:val="36"/>
        </w:rPr>
        <w:t>文化部104年度推動性別主流化成果報告</w:t>
      </w:r>
    </w:p>
    <w:p w:rsidR="0096661D" w:rsidRPr="005D6D4A" w:rsidRDefault="0096661D" w:rsidP="0096661D">
      <w:pPr>
        <w:widowControl/>
        <w:numPr>
          <w:ilvl w:val="0"/>
          <w:numId w:val="41"/>
        </w:numPr>
        <w:spacing w:before="120" w:after="120" w:line="440" w:lineRule="exact"/>
        <w:ind w:left="658" w:hanging="658"/>
        <w:rPr>
          <w:rFonts w:ascii="標楷體" w:eastAsia="標楷體" w:hAnsi="標楷體"/>
          <w:b/>
          <w:color w:val="000000" w:themeColor="text1"/>
          <w:sz w:val="32"/>
          <w:szCs w:val="32"/>
        </w:rPr>
      </w:pPr>
      <w:r w:rsidRPr="005D6D4A">
        <w:rPr>
          <w:rFonts w:ascii="標楷體" w:eastAsia="標楷體" w:hAnsi="標楷體" w:hint="eastAsia"/>
          <w:b/>
          <w:color w:val="000000" w:themeColor="text1"/>
          <w:sz w:val="32"/>
          <w:szCs w:val="32"/>
        </w:rPr>
        <w:t>依據</w:t>
      </w:r>
    </w:p>
    <w:p w:rsidR="0096661D" w:rsidRPr="005D6D4A" w:rsidRDefault="0096661D" w:rsidP="0096661D">
      <w:pPr>
        <w:widowControl/>
        <w:numPr>
          <w:ilvl w:val="0"/>
          <w:numId w:val="39"/>
        </w:numPr>
        <w:spacing w:before="120" w:after="120" w:line="440" w:lineRule="exact"/>
        <w:ind w:left="851" w:hanging="567"/>
        <w:jc w:val="both"/>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行政院102年10月28日函頒「行政院所屬各機關推動性別主流化實施計畫（103至106年度）」辦理。</w:t>
      </w:r>
    </w:p>
    <w:p w:rsidR="0096661D" w:rsidRPr="005D6D4A" w:rsidRDefault="0096661D" w:rsidP="0096661D">
      <w:pPr>
        <w:widowControl/>
        <w:numPr>
          <w:ilvl w:val="0"/>
          <w:numId w:val="39"/>
        </w:numPr>
        <w:spacing w:before="120" w:after="120" w:line="440" w:lineRule="exact"/>
        <w:ind w:left="924" w:hanging="588"/>
        <w:jc w:val="both"/>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文化部推動性別主流化執行計畫（103至106年度）辦理。</w:t>
      </w:r>
    </w:p>
    <w:p w:rsidR="0096661D" w:rsidRPr="005D6D4A" w:rsidRDefault="0096661D" w:rsidP="0096661D">
      <w:pPr>
        <w:widowControl/>
        <w:numPr>
          <w:ilvl w:val="0"/>
          <w:numId w:val="41"/>
        </w:numPr>
        <w:spacing w:before="120" w:after="120" w:line="440" w:lineRule="exact"/>
        <w:ind w:left="658" w:hanging="658"/>
        <w:rPr>
          <w:rFonts w:ascii="標楷體" w:eastAsia="標楷體" w:hAnsi="標楷體"/>
          <w:b/>
          <w:color w:val="000000" w:themeColor="text1"/>
          <w:sz w:val="32"/>
          <w:szCs w:val="32"/>
        </w:rPr>
      </w:pPr>
      <w:r w:rsidRPr="005D6D4A">
        <w:rPr>
          <w:rFonts w:ascii="標楷體" w:eastAsia="標楷體" w:hAnsi="標楷體" w:hint="eastAsia"/>
          <w:b/>
          <w:color w:val="000000" w:themeColor="text1"/>
          <w:sz w:val="32"/>
          <w:szCs w:val="32"/>
        </w:rPr>
        <w:t>計畫目標</w:t>
      </w:r>
    </w:p>
    <w:p w:rsidR="0096661D" w:rsidRPr="005D6D4A" w:rsidRDefault="0096661D" w:rsidP="0096661D">
      <w:pPr>
        <w:widowControl/>
        <w:numPr>
          <w:ilvl w:val="0"/>
          <w:numId w:val="42"/>
        </w:numPr>
        <w:spacing w:before="120" w:after="120" w:line="440" w:lineRule="exact"/>
        <w:ind w:left="851" w:hanging="567"/>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加強性別觀點融入機關業務，強化「消除對婦女一切形式歧視公約」(以下簡稱CEDAW)及重要性別平等政策或措施之規劃、執行與評估，以達成實質性別平等之目標。</w:t>
      </w:r>
    </w:p>
    <w:p w:rsidR="0096661D" w:rsidRPr="005D6D4A" w:rsidRDefault="0096661D" w:rsidP="0096661D">
      <w:pPr>
        <w:widowControl/>
        <w:numPr>
          <w:ilvl w:val="0"/>
          <w:numId w:val="43"/>
        </w:numPr>
        <w:spacing w:before="120" w:after="120" w:line="44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宣導倡議性別平等概念。</w:t>
      </w:r>
    </w:p>
    <w:p w:rsidR="0096661D" w:rsidRPr="005D6D4A" w:rsidRDefault="0096661D" w:rsidP="0096661D">
      <w:pPr>
        <w:widowControl/>
        <w:numPr>
          <w:ilvl w:val="0"/>
          <w:numId w:val="43"/>
        </w:numPr>
        <w:spacing w:before="120" w:after="120" w:line="44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積極蒐集女性史料。</w:t>
      </w:r>
    </w:p>
    <w:p w:rsidR="0096661D" w:rsidRPr="005D6D4A" w:rsidRDefault="0096661D" w:rsidP="0096661D">
      <w:pPr>
        <w:widowControl/>
        <w:numPr>
          <w:ilvl w:val="0"/>
          <w:numId w:val="43"/>
        </w:numPr>
        <w:spacing w:before="120" w:after="120" w:line="44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辦理檢視及消弭民俗文化資產之性別歧視。</w:t>
      </w:r>
    </w:p>
    <w:p w:rsidR="0096661D" w:rsidRPr="005D6D4A" w:rsidRDefault="0096661D" w:rsidP="0096661D">
      <w:pPr>
        <w:widowControl/>
        <w:numPr>
          <w:ilvl w:val="0"/>
          <w:numId w:val="42"/>
        </w:numPr>
        <w:spacing w:before="120" w:after="120" w:line="440" w:lineRule="exact"/>
        <w:ind w:left="851" w:hanging="567"/>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賡續推動性別主流化各項工具，並提升推動品質及擴大成效：</w:t>
      </w:r>
    </w:p>
    <w:p w:rsidR="0096661D" w:rsidRPr="005D6D4A" w:rsidRDefault="0096661D" w:rsidP="0096661D">
      <w:pPr>
        <w:widowControl/>
        <w:tabs>
          <w:tab w:val="left" w:pos="851"/>
        </w:tabs>
        <w:spacing w:before="120" w:after="120" w:line="440" w:lineRule="exact"/>
        <w:ind w:left="182" w:firstLineChars="180" w:firstLine="50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（一）強化性別平等專案小組之運作功能。</w:t>
      </w:r>
    </w:p>
    <w:p w:rsidR="0096661D" w:rsidRPr="005D6D4A" w:rsidRDefault="0096661D" w:rsidP="0096661D">
      <w:pPr>
        <w:widowControl/>
        <w:tabs>
          <w:tab w:val="left" w:pos="851"/>
        </w:tabs>
        <w:spacing w:before="120" w:after="120" w:line="440" w:lineRule="exact"/>
        <w:ind w:left="182" w:firstLineChars="180" w:firstLine="50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（二）提升性別影響評估辦理品質及管考性別目標達成情形。</w:t>
      </w:r>
    </w:p>
    <w:p w:rsidR="0096661D" w:rsidRPr="005D6D4A" w:rsidRDefault="0096661D" w:rsidP="0096661D">
      <w:pPr>
        <w:widowControl/>
        <w:tabs>
          <w:tab w:val="left" w:pos="851"/>
        </w:tabs>
        <w:spacing w:before="120" w:after="120" w:line="440" w:lineRule="exact"/>
        <w:ind w:left="182" w:firstLineChars="180" w:firstLine="50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（三）促進關於施政計畫、執行及評估時，運用性別統計及性</w:t>
      </w:r>
      <w:r w:rsidRPr="005D6D4A">
        <w:rPr>
          <w:rFonts w:ascii="標楷體" w:eastAsia="標楷體" w:hAnsi="標楷體"/>
          <w:color w:val="000000" w:themeColor="text1"/>
          <w:sz w:val="28"/>
          <w:szCs w:val="28"/>
        </w:rPr>
        <w:br/>
      </w:r>
      <w:r w:rsidRPr="005D6D4A">
        <w:rPr>
          <w:rFonts w:ascii="標楷體" w:eastAsia="標楷體" w:hAnsi="標楷體" w:hint="eastAsia"/>
          <w:color w:val="000000" w:themeColor="text1"/>
          <w:sz w:val="28"/>
          <w:szCs w:val="28"/>
        </w:rPr>
        <w:t xml:space="preserve">          別分析。</w:t>
      </w:r>
    </w:p>
    <w:p w:rsidR="0096661D" w:rsidRPr="005D6D4A" w:rsidRDefault="0096661D" w:rsidP="0096661D">
      <w:pPr>
        <w:widowControl/>
        <w:tabs>
          <w:tab w:val="left" w:pos="851"/>
        </w:tabs>
        <w:spacing w:before="120" w:after="120" w:line="440" w:lineRule="exact"/>
        <w:ind w:left="182" w:firstLineChars="180" w:firstLine="50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（四）擴大性別預算檢視範圍及強化性別預算分析。</w:t>
      </w:r>
    </w:p>
    <w:p w:rsidR="0096661D" w:rsidRPr="005D6D4A" w:rsidRDefault="0096661D" w:rsidP="0096661D">
      <w:pPr>
        <w:widowControl/>
        <w:tabs>
          <w:tab w:val="left" w:pos="851"/>
        </w:tabs>
        <w:spacing w:before="120" w:after="120" w:line="440" w:lineRule="exact"/>
        <w:ind w:left="182" w:firstLineChars="180" w:firstLine="50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（五）加強落實性別主流化訓練。</w:t>
      </w:r>
    </w:p>
    <w:p w:rsidR="0096661D" w:rsidRPr="005D6D4A" w:rsidRDefault="0096661D" w:rsidP="0096661D">
      <w:pPr>
        <w:widowControl/>
        <w:numPr>
          <w:ilvl w:val="0"/>
          <w:numId w:val="41"/>
        </w:numPr>
        <w:spacing w:before="120" w:after="120" w:line="440" w:lineRule="exact"/>
        <w:ind w:left="658" w:hanging="658"/>
        <w:rPr>
          <w:rFonts w:ascii="標楷體" w:eastAsia="標楷體" w:hAnsi="標楷體"/>
          <w:b/>
          <w:color w:val="000000" w:themeColor="text1"/>
          <w:sz w:val="32"/>
          <w:szCs w:val="32"/>
        </w:rPr>
      </w:pPr>
      <w:r w:rsidRPr="005D6D4A">
        <w:rPr>
          <w:rFonts w:ascii="標楷體" w:eastAsia="標楷體" w:hAnsi="標楷體" w:hint="eastAsia"/>
          <w:b/>
          <w:color w:val="000000" w:themeColor="text1"/>
          <w:sz w:val="32"/>
          <w:szCs w:val="32"/>
        </w:rPr>
        <w:t>重要辦理成果</w:t>
      </w:r>
    </w:p>
    <w:p w:rsidR="0096661D" w:rsidRPr="005D6D4A" w:rsidRDefault="0096661D" w:rsidP="0096661D">
      <w:pPr>
        <w:widowControl/>
        <w:numPr>
          <w:ilvl w:val="0"/>
          <w:numId w:val="40"/>
        </w:numPr>
        <w:spacing w:before="120" w:after="120" w:line="440" w:lineRule="exact"/>
        <w:ind w:left="812" w:hanging="588"/>
        <w:rPr>
          <w:rFonts w:ascii="標楷體" w:eastAsia="標楷體" w:hAnsi="標楷體"/>
          <w:b/>
          <w:color w:val="000000" w:themeColor="text1"/>
          <w:sz w:val="28"/>
          <w:szCs w:val="28"/>
        </w:rPr>
      </w:pPr>
      <w:r w:rsidRPr="005D6D4A">
        <w:rPr>
          <w:rFonts w:ascii="標楷體" w:eastAsia="標楷體" w:hAnsi="標楷體" w:hint="eastAsia"/>
          <w:b/>
          <w:color w:val="000000" w:themeColor="text1"/>
          <w:sz w:val="28"/>
          <w:szCs w:val="28"/>
        </w:rPr>
        <w:t>加強性別觀點融入機關業務，強化CEDAW及重要性別平等政策或措施之規劃、執行與評估，以達成實質性別平等之目標</w:t>
      </w:r>
    </w:p>
    <w:p w:rsidR="0096661D" w:rsidRPr="005D6D4A" w:rsidRDefault="0096661D" w:rsidP="0096661D">
      <w:pPr>
        <w:widowControl/>
        <w:spacing w:before="120" w:after="120" w:line="440" w:lineRule="exact"/>
        <w:ind w:leftChars="140" w:left="1216" w:hangingChars="314" w:hanging="880"/>
        <w:rPr>
          <w:rFonts w:ascii="標楷體" w:eastAsia="標楷體" w:hAnsi="標楷體"/>
          <w:color w:val="000000" w:themeColor="text1"/>
          <w:sz w:val="28"/>
          <w:szCs w:val="28"/>
        </w:rPr>
      </w:pPr>
      <w:r w:rsidRPr="005D6D4A">
        <w:rPr>
          <w:rFonts w:ascii="標楷體" w:eastAsia="標楷體" w:hAnsi="標楷體" w:hint="eastAsia"/>
          <w:b/>
          <w:color w:val="000000" w:themeColor="text1"/>
          <w:sz w:val="28"/>
          <w:szCs w:val="28"/>
        </w:rPr>
        <w:t>（一）關鍵績效指標1：宣導倡議性別平等概念之計畫數</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281"/>
        <w:gridCol w:w="1310"/>
        <w:gridCol w:w="1281"/>
        <w:gridCol w:w="1281"/>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衡量標準</w:t>
            </w:r>
          </w:p>
        </w:tc>
        <w:tc>
          <w:tcPr>
            <w:tcW w:w="5812" w:type="dxa"/>
            <w:gridSpan w:val="4"/>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推動辦理文化平權理念宣導、推廣之相關活動及藝文節目，以及文化從業人員對婦女及新移民等弱勢族群服務品質之相關研習活動、發展具性別意識之出版品及影視作品等計畫數</w:t>
            </w:r>
          </w:p>
        </w:tc>
      </w:tr>
      <w:tr w:rsidR="005D6D4A" w:rsidRPr="005D6D4A" w:rsidTr="0096661D">
        <w:trPr>
          <w:trHeight w:val="535"/>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5</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16</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17</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18</w:t>
            </w:r>
          </w:p>
        </w:tc>
      </w:tr>
      <w:tr w:rsidR="005D6D4A" w:rsidRPr="005D6D4A" w:rsidTr="0096661D">
        <w:trPr>
          <w:trHeight w:val="659"/>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15</w:t>
            </w:r>
          </w:p>
        </w:tc>
        <w:tc>
          <w:tcPr>
            <w:tcW w:w="1453" w:type="dxa"/>
            <w:shd w:val="clear" w:color="auto" w:fill="auto"/>
            <w:vAlign w:val="center"/>
          </w:tcPr>
          <w:p w:rsidR="0096661D" w:rsidRPr="009F7C77" w:rsidRDefault="009F7C77" w:rsidP="0096661D">
            <w:pPr>
              <w:widowControl/>
              <w:spacing w:line="360" w:lineRule="exact"/>
              <w:jc w:val="center"/>
              <w:rPr>
                <w:rFonts w:ascii="標楷體" w:eastAsia="標楷體" w:hAnsi="標楷體"/>
                <w:color w:val="FF0000"/>
                <w:sz w:val="28"/>
                <w:szCs w:val="28"/>
              </w:rPr>
            </w:pPr>
            <w:r w:rsidRPr="009F7C77">
              <w:rPr>
                <w:rFonts w:ascii="標楷體" w:eastAsia="標楷體" w:hAnsi="標楷體" w:hint="eastAsia"/>
                <w:color w:val="FF0000"/>
                <w:sz w:val="28"/>
                <w:szCs w:val="28"/>
              </w:rPr>
              <w:t>17</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w:t>
            </w:r>
          </w:p>
        </w:tc>
        <w:tc>
          <w:tcPr>
            <w:tcW w:w="1453" w:type="dxa"/>
            <w:shd w:val="clear" w:color="auto" w:fill="auto"/>
            <w:vAlign w:val="center"/>
          </w:tcPr>
          <w:p w:rsidR="0096661D" w:rsidRPr="009F7C77" w:rsidRDefault="009F7C77" w:rsidP="0096661D">
            <w:pPr>
              <w:widowControl/>
              <w:spacing w:line="360" w:lineRule="exact"/>
              <w:jc w:val="center"/>
              <w:rPr>
                <w:rFonts w:ascii="標楷體" w:eastAsia="標楷體" w:hAnsi="標楷體"/>
                <w:color w:val="FF0000"/>
                <w:sz w:val="28"/>
                <w:szCs w:val="28"/>
              </w:rPr>
            </w:pPr>
            <w:r w:rsidRPr="009F7C77">
              <w:rPr>
                <w:rFonts w:ascii="標楷體" w:eastAsia="標楷體" w:hAnsi="標楷體" w:hint="eastAsia"/>
                <w:color w:val="FF0000"/>
                <w:sz w:val="28"/>
                <w:szCs w:val="28"/>
              </w:rPr>
              <w:t>1.06</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r w:rsidRPr="005D6D4A">
        <w:rPr>
          <w:rFonts w:ascii="標楷體" w:eastAsia="標楷體" w:hAnsi="標楷體"/>
          <w:color w:val="000000" w:themeColor="text1"/>
          <w:sz w:val="28"/>
          <w:szCs w:val="28"/>
        </w:rPr>
        <w:t xml:space="preserve"> </w:t>
      </w:r>
    </w:p>
    <w:p w:rsidR="0096661D" w:rsidRPr="009F7C77" w:rsidRDefault="0096661D" w:rsidP="0096661D">
      <w:pPr>
        <w:widowControl/>
        <w:spacing w:before="120" w:after="120" w:line="440" w:lineRule="exact"/>
        <w:ind w:leftChars="320" w:left="1230" w:hangingChars="165" w:hanging="462"/>
        <w:rPr>
          <w:rFonts w:ascii="標楷體" w:eastAsia="標楷體" w:hAnsi="標楷體"/>
          <w:color w:val="FF0000"/>
          <w:szCs w:val="24"/>
        </w:rPr>
      </w:pPr>
      <w:r w:rsidRPr="009F7C77">
        <w:rPr>
          <w:rFonts w:ascii="標楷體" w:eastAsia="標楷體" w:hAnsi="標楷體"/>
          <w:color w:val="FF0000"/>
          <w:sz w:val="28"/>
          <w:szCs w:val="28"/>
        </w:rPr>
        <w:t>(</w:t>
      </w:r>
      <w:r w:rsidRPr="009F7C77">
        <w:rPr>
          <w:rFonts w:ascii="標楷體" w:eastAsia="標楷體" w:hAnsi="標楷體" w:hint="eastAsia"/>
          <w:color w:val="FF0000"/>
          <w:sz w:val="28"/>
          <w:szCs w:val="28"/>
        </w:rPr>
        <w:t>1</w:t>
      </w:r>
      <w:r w:rsidRPr="009F7C77">
        <w:rPr>
          <w:rFonts w:ascii="標楷體" w:eastAsia="標楷體" w:hAnsi="標楷體"/>
          <w:color w:val="FF0000"/>
          <w:sz w:val="28"/>
          <w:szCs w:val="28"/>
        </w:rPr>
        <w:t>)</w:t>
      </w:r>
      <w:r w:rsidRPr="009F7C77">
        <w:rPr>
          <w:rFonts w:ascii="標楷體" w:eastAsia="標楷體" w:hAnsi="標楷體" w:hint="eastAsia"/>
          <w:color w:val="FF0000"/>
          <w:sz w:val="28"/>
          <w:szCs w:val="28"/>
        </w:rPr>
        <w:t>本部「推廣文學閱讀及人文活動補助作業要點」之文化平權推廣活動類，補助臺灣女人連線辦理「陰道獨白―直到暴力終止」 戲劇公演計畫</w:t>
      </w:r>
      <w:r w:rsidR="00BF111B" w:rsidRPr="009F7C77">
        <w:rPr>
          <w:rFonts w:ascii="標楷體" w:eastAsia="標楷體" w:hAnsi="標楷體" w:hint="eastAsia"/>
          <w:color w:val="FF0000"/>
          <w:sz w:val="28"/>
          <w:szCs w:val="28"/>
        </w:rPr>
        <w:t>，</w:t>
      </w:r>
      <w:r w:rsidRPr="009F7C77">
        <w:rPr>
          <w:rFonts w:ascii="標楷體" w:eastAsia="標楷體" w:hAnsi="標楷體" w:hint="eastAsia"/>
          <w:color w:val="FF0000"/>
          <w:sz w:val="28"/>
          <w:szCs w:val="28"/>
        </w:rPr>
        <w:t>及「破除美麗迷思―創意影片徵件計畫」;社團法人臺灣攝影文化交流協會辦理《女人的房間》攝影文學書出版活動計畫;雲林縣紫色姊妹協會辦理「性別平權廣播節目『查甫查某答嘴鼓』」;社團法人臺北市日日春關懷互助協會</w:t>
      </w:r>
      <w:r w:rsidR="00EE15BA">
        <w:rPr>
          <w:rFonts w:ascii="標楷體" w:eastAsia="標楷體" w:hAnsi="標楷體" w:hint="eastAsia"/>
          <w:color w:val="FF0000"/>
          <w:sz w:val="28"/>
          <w:szCs w:val="28"/>
        </w:rPr>
        <w:t>辦</w:t>
      </w:r>
      <w:r w:rsidRPr="009F7C77">
        <w:rPr>
          <w:rFonts w:ascii="標楷體" w:eastAsia="標楷體" w:hAnsi="標楷體" w:hint="eastAsia"/>
          <w:color w:val="FF0000"/>
          <w:sz w:val="28"/>
          <w:szCs w:val="28"/>
        </w:rPr>
        <w:t>理「2015國際娼妓文化節」展出活動;財團法人臺北市婦女救援社會福利事業基金會辦理「如果我是－終戰七十周年『慰安婦』女性人權紀念展」;財團法人婦女權益促進發展基金會辦理「第23屆臺北國際書展性別平等專區」等共16案。</w:t>
      </w:r>
    </w:p>
    <w:p w:rsidR="0096661D" w:rsidRPr="009F7C77" w:rsidRDefault="009F7C77" w:rsidP="0096661D">
      <w:pPr>
        <w:widowControl/>
        <w:spacing w:before="120" w:after="120" w:line="440" w:lineRule="exact"/>
        <w:ind w:leftChars="320" w:left="1230" w:hangingChars="165" w:hanging="462"/>
        <w:rPr>
          <w:rFonts w:ascii="標楷體" w:eastAsia="標楷體" w:hAnsi="標楷體"/>
          <w:color w:val="FF0000"/>
          <w:sz w:val="28"/>
          <w:szCs w:val="28"/>
        </w:rPr>
      </w:pPr>
      <w:r w:rsidRPr="009F7C77">
        <w:rPr>
          <w:rFonts w:ascii="標楷體" w:eastAsia="標楷體" w:hAnsi="標楷體" w:hint="eastAsia"/>
          <w:color w:val="FF0000"/>
          <w:sz w:val="28"/>
          <w:szCs w:val="28"/>
        </w:rPr>
        <w:t>(2</w:t>
      </w:r>
      <w:r w:rsidR="0096661D" w:rsidRPr="009F7C77">
        <w:rPr>
          <w:rFonts w:ascii="標楷體" w:eastAsia="標楷體" w:hAnsi="標楷體" w:hint="eastAsia"/>
          <w:color w:val="FF0000"/>
          <w:sz w:val="28"/>
          <w:szCs w:val="28"/>
        </w:rPr>
        <w:t>)影視及流行音樂產業局補助社團法人臺灣女性影像學會辦理「第22屆臺灣國際女性影展」，係以影像為教材、以議題為導引，透過性別教育等概念之影像創作，建構兩性之間平等溝通平臺。提供國人具國際觀的影像資源，展現更寬闊的性別視角與女性樣貌，培養國人多元觀影品味。活動於10月間假臺北光點華山電影館舉辦，共83部參展影片，放映96場次，並辦理7場專題講座、24場映後座</w:t>
      </w:r>
      <w:r w:rsidR="0096661D" w:rsidRPr="009F7C77">
        <w:rPr>
          <w:rFonts w:ascii="標楷體" w:eastAsia="標楷體" w:hAnsi="標楷體" w:hint="eastAsia"/>
          <w:color w:val="FF0000"/>
          <w:sz w:val="28"/>
          <w:szCs w:val="28"/>
        </w:rPr>
        <w:lastRenderedPageBreak/>
        <w:t>談、2場動畫工作坊、26場校園推廣、開閉幕放映會及競賽單元頒獎典禮等活動，總觀影人次為1萬2,097人次。</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3、檢討及策進作為</w:t>
      </w:r>
    </w:p>
    <w:p w:rsidR="0096661D" w:rsidRPr="00470BB3" w:rsidRDefault="009F7C77" w:rsidP="00470BB3">
      <w:pPr>
        <w:widowControl/>
        <w:spacing w:before="120" w:after="120" w:line="440" w:lineRule="exact"/>
        <w:ind w:leftChars="320" w:left="1230" w:hangingChars="165" w:hanging="462"/>
        <w:rPr>
          <w:rFonts w:ascii="標楷體" w:eastAsia="標楷體" w:hAnsi="標楷體"/>
          <w:color w:val="FF0000"/>
          <w:szCs w:val="24"/>
        </w:rPr>
      </w:pPr>
      <w:r>
        <w:rPr>
          <w:rFonts w:ascii="標楷體" w:eastAsia="標楷體" w:hAnsi="標楷體" w:hint="eastAsia"/>
          <w:color w:val="000000" w:themeColor="text1"/>
          <w:sz w:val="28"/>
          <w:szCs w:val="28"/>
        </w:rPr>
        <w:t xml:space="preserve">   </w:t>
      </w:r>
      <w:r w:rsidR="00470BB3" w:rsidRPr="00470BB3">
        <w:rPr>
          <w:rFonts w:ascii="標楷體" w:eastAsia="標楷體" w:hAnsi="標楷體" w:hint="eastAsia"/>
          <w:color w:val="FF0000"/>
          <w:sz w:val="28"/>
          <w:szCs w:val="28"/>
        </w:rPr>
        <w:t>本部</w:t>
      </w:r>
      <w:r w:rsidRPr="009F7C77">
        <w:rPr>
          <w:rFonts w:ascii="標楷體" w:eastAsia="標楷體" w:hAnsi="標楷體" w:hint="eastAsia"/>
          <w:color w:val="FF0000"/>
          <w:sz w:val="28"/>
          <w:szCs w:val="28"/>
        </w:rPr>
        <w:t>「推廣文學閱讀及人文活動補助作業要點」105年預計補助性別案件10案，辦理內容包含鼓勵女性參與藝文創作、蒐集女性史料、性別平等意識宣導活動、加強平面媒體自律等。</w:t>
      </w:r>
      <w:r w:rsidR="00470BB3">
        <w:rPr>
          <w:rFonts w:ascii="標楷體" w:eastAsia="標楷體" w:hAnsi="標楷體" w:hint="eastAsia"/>
          <w:color w:val="FF0000"/>
          <w:sz w:val="28"/>
          <w:szCs w:val="28"/>
        </w:rPr>
        <w:t>另</w:t>
      </w:r>
      <w:r w:rsidR="00470BB3" w:rsidRPr="00470BB3">
        <w:rPr>
          <w:rFonts w:ascii="標楷體" w:eastAsia="標楷體" w:hAnsi="標楷體" w:hint="eastAsia"/>
          <w:color w:val="FF0000"/>
          <w:sz w:val="28"/>
          <w:szCs w:val="28"/>
        </w:rPr>
        <w:t>本部</w:t>
      </w:r>
      <w:r w:rsidR="00470BB3">
        <w:rPr>
          <w:rFonts w:ascii="標楷體" w:eastAsia="標楷體" w:hAnsi="標楷體" w:hint="eastAsia"/>
          <w:color w:val="FF0000"/>
          <w:sz w:val="28"/>
          <w:szCs w:val="28"/>
        </w:rPr>
        <w:t>亦將持續推動附屬機關</w:t>
      </w:r>
      <w:r w:rsidR="00470BB3" w:rsidRPr="00470BB3">
        <w:rPr>
          <w:rFonts w:ascii="標楷體" w:eastAsia="標楷體" w:hAnsi="標楷體" w:hint="eastAsia"/>
          <w:color w:val="FF0000"/>
          <w:sz w:val="28"/>
          <w:szCs w:val="28"/>
        </w:rPr>
        <w:t>賡續補助及辦理宣導倡議性別平等概念之計畫</w:t>
      </w:r>
      <w:r w:rsidR="00470BB3">
        <w:rPr>
          <w:rFonts w:ascii="標楷體" w:eastAsia="標楷體" w:hAnsi="標楷體" w:hint="eastAsia"/>
          <w:color w:val="FF0000"/>
          <w:sz w:val="28"/>
          <w:szCs w:val="28"/>
        </w:rPr>
        <w:t>，如</w:t>
      </w:r>
      <w:r w:rsidR="00470BB3" w:rsidRPr="00470BB3">
        <w:rPr>
          <w:rFonts w:ascii="標楷體" w:eastAsia="標楷體" w:hAnsi="標楷體" w:hint="eastAsia"/>
          <w:color w:val="FF0000"/>
          <w:sz w:val="28"/>
          <w:szCs w:val="28"/>
        </w:rPr>
        <w:t>影視及流行音樂產業局</w:t>
      </w:r>
      <w:r w:rsidR="00470BB3">
        <w:rPr>
          <w:rFonts w:ascii="標楷體" w:eastAsia="標楷體" w:hAnsi="標楷體" w:hint="eastAsia"/>
          <w:color w:val="FF0000"/>
          <w:sz w:val="28"/>
          <w:szCs w:val="28"/>
        </w:rPr>
        <w:t>將於105年下半年度</w:t>
      </w:r>
      <w:r w:rsidR="00470BB3" w:rsidRPr="00470BB3">
        <w:rPr>
          <w:rFonts w:ascii="標楷體" w:eastAsia="標楷體" w:hAnsi="標楷體" w:hint="eastAsia"/>
          <w:color w:val="FF0000"/>
          <w:sz w:val="28"/>
          <w:szCs w:val="28"/>
        </w:rPr>
        <w:t>補助社團法人臺灣女性影像學會辦理「第</w:t>
      </w:r>
      <w:r w:rsidR="00470BB3">
        <w:rPr>
          <w:rFonts w:ascii="標楷體" w:eastAsia="標楷體" w:hAnsi="標楷體" w:hint="eastAsia"/>
          <w:color w:val="FF0000"/>
          <w:sz w:val="28"/>
          <w:szCs w:val="28"/>
        </w:rPr>
        <w:t>23</w:t>
      </w:r>
      <w:r w:rsidR="00470BB3" w:rsidRPr="00470BB3">
        <w:rPr>
          <w:rFonts w:ascii="標楷體" w:eastAsia="標楷體" w:hAnsi="標楷體" w:hint="eastAsia"/>
          <w:color w:val="FF0000"/>
          <w:sz w:val="28"/>
          <w:szCs w:val="28"/>
        </w:rPr>
        <w:t>屆臺灣國際女性影展」</w:t>
      </w:r>
      <w:r w:rsidR="00470BB3">
        <w:rPr>
          <w:rFonts w:ascii="標楷體" w:eastAsia="標楷體" w:hAnsi="標楷體" w:hint="eastAsia"/>
          <w:color w:val="FF0000"/>
          <w:sz w:val="28"/>
          <w:szCs w:val="28"/>
        </w:rPr>
        <w:t>等</w:t>
      </w:r>
      <w:r w:rsidR="00470BB3" w:rsidRPr="00470BB3">
        <w:rPr>
          <w:rFonts w:ascii="標楷體" w:eastAsia="標楷體" w:hAnsi="標楷體" w:hint="eastAsia"/>
          <w:color w:val="FF0000"/>
          <w:sz w:val="28"/>
          <w:szCs w:val="28"/>
        </w:rPr>
        <w:t>。</w:t>
      </w:r>
      <w:r w:rsidR="00470BB3">
        <w:rPr>
          <w:rFonts w:ascii="標楷體" w:eastAsia="標楷體" w:hAnsi="標楷體"/>
          <w:color w:val="FF0000"/>
          <w:szCs w:val="24"/>
        </w:rPr>
        <w:br/>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b/>
          <w:color w:val="000000" w:themeColor="text1"/>
          <w:sz w:val="28"/>
          <w:szCs w:val="28"/>
        </w:rPr>
        <w:t>（二）關鍵績效指標2：蒐集女性史料之件數</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281"/>
        <w:gridCol w:w="1310"/>
        <w:gridCol w:w="1281"/>
        <w:gridCol w:w="1281"/>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衡量標準</w:t>
            </w:r>
          </w:p>
        </w:tc>
        <w:tc>
          <w:tcPr>
            <w:tcW w:w="5812" w:type="dxa"/>
            <w:gridSpan w:val="4"/>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針對女性參與的各種層面，如傳統戲曲、歌謠、工藝等之專題介紹、研究和出版，女性的史料蒐集與建置數</w:t>
            </w:r>
          </w:p>
        </w:tc>
      </w:tr>
      <w:tr w:rsidR="005D6D4A" w:rsidRPr="005D6D4A" w:rsidTr="0096661D">
        <w:trPr>
          <w:trHeight w:val="481"/>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70</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370</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380</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390</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364</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414</w:t>
            </w: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p>
        </w:tc>
        <w:tc>
          <w:tcPr>
            <w:tcW w:w="1453" w:type="dxa"/>
            <w:shd w:val="clear" w:color="auto" w:fill="auto"/>
          </w:tcPr>
          <w:p w:rsidR="0096661D" w:rsidRPr="005D6D4A" w:rsidRDefault="0096661D" w:rsidP="0096661D">
            <w:pPr>
              <w:jc w:val="center"/>
              <w:rPr>
                <w:rFonts w:ascii="標楷體" w:eastAsia="標楷體" w:hAnsi="標楷體"/>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5.2</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1.12</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本部「臺灣故事島-國民記憶庫計畫」鼓勵民眾將個人生命經驗上傳到雲端資料庫保存與分享，並邀集全國17縣巿文化局（處）、本部所屬4個生活美學館及中華民國口述歷史學會共同參與，網站增設臺灣女性專區，目前已蒐錄258則臺灣女性的生命故事。</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(2)本部為協助提供國內外各社群、各級學校推廣臺灣文學所需資源，運用網際網路無時間無疆域的特性，建置「文學工具箱」網站，規劃16組中英文主題，其中1組主題為「女性文學」，全案共收錄166位作家，189部文學作品，其中女性作家45位，女性作家作品共53部；另「電影工具箱」亦建置有「性別」主題，共收錄26件作品。</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(3)本部「推廣文學閱讀及人文活動補助作業要點」之文化平權推廣活動類</w:t>
      </w:r>
      <w:r w:rsidR="00BF111B" w:rsidRPr="005D6D4A">
        <w:rPr>
          <w:rFonts w:ascii="標楷體" w:eastAsia="標楷體" w:hAnsi="標楷體" w:hint="eastAsia"/>
          <w:color w:val="000000" w:themeColor="text1"/>
          <w:sz w:val="28"/>
          <w:szCs w:val="28"/>
        </w:rPr>
        <w:t>，</w:t>
      </w:r>
      <w:r w:rsidRPr="005D6D4A">
        <w:rPr>
          <w:rFonts w:ascii="標楷體" w:eastAsia="標楷體" w:hAnsi="標楷體" w:hint="eastAsia"/>
          <w:color w:val="000000" w:themeColor="text1"/>
          <w:sz w:val="28"/>
          <w:szCs w:val="28"/>
        </w:rPr>
        <w:t>補助臺中縣梧棲鎮藝術文化協會辦理臺中市梧棲區口述婦女史《『梧棲‧吾妻』：老阿媽講故事》專書出版</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(4)國立傳統藝術中心辦理「臺灣中生代音樂家群像調查研究計畫」，主要為彙整1960年前出生之臺灣重要音樂家資料，針對個人之生平傳記、創作研究與展演活動等項目，進行學術性的資料分析，其中蒐集女性音樂家史料共計7位，包括：吳素霞、吳漪曼、李淑德、李富美、林秋錦、席慕德、張日貴。</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(5)國立臺灣歷史博物館出版《臺灣女人記事》歷史篇及生活篇、完成臺灣女人網站改版及重新上線，並進行網站維運工作。</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(6)國立臺灣文學館104年度辦理「臺灣現當代作家研究資料彙編計畫（第五階段）」，出版女性作家研究資料彙編《蓉子》1冊。</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(7)本部為推動藝術作品之租賃流通，鼓勵國內、外對臺灣藝術家創作之支持與欣賞，成立「藝術銀行」，向臺灣當代藝術家徵集作品，104年共計有1131位申請者，其中女性478位(42.3%)、男性652位(57.6%)，1位(0.1%)不提供性別；104年購入作品創作者，男性110位（63%），女性64位（37%）。</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(8)國立歷史博物館於104年6至8月辦理「『她』—在歷史的背後」，不同於傳統的歷史圖片及文物展，以大幅史詩素描、錄像創作、鏡宮、環繞投影創作等多媒體裝置藝術形態，再現華人在美國的法律事件和女性風貌，展現她們所寫下的法律史—Herstory。</w:t>
      </w:r>
    </w:p>
    <w:p w:rsidR="0096661D" w:rsidRPr="005D6D4A" w:rsidRDefault="0096661D" w:rsidP="0096661D">
      <w:pPr>
        <w:widowControl/>
        <w:spacing w:before="120" w:after="120" w:line="440" w:lineRule="exact"/>
        <w:ind w:leftChars="296" w:left="1418" w:hangingChars="253" w:hanging="708"/>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3、檢討及策進作為：</w:t>
      </w:r>
    </w:p>
    <w:p w:rsidR="0096661D" w:rsidRPr="005D6D4A" w:rsidRDefault="008D3D5D" w:rsidP="008D3D5D">
      <w:pPr>
        <w:widowControl/>
        <w:spacing w:before="120" w:after="120" w:line="440" w:lineRule="exact"/>
        <w:ind w:leftChars="320" w:left="1230" w:hangingChars="165" w:hanging="46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8D3D5D">
        <w:rPr>
          <w:rFonts w:ascii="標楷體" w:eastAsia="標楷體" w:hAnsi="標楷體" w:hint="eastAsia"/>
          <w:color w:val="FF0000"/>
          <w:sz w:val="28"/>
          <w:szCs w:val="28"/>
        </w:rPr>
        <w:t>本部將持續推動與女性相關之專題介紹、研究和出版，如臺東生活美學館</w:t>
      </w:r>
      <w:r w:rsidR="0096661D" w:rsidRPr="008D3D5D">
        <w:rPr>
          <w:rFonts w:ascii="標楷體" w:eastAsia="標楷體" w:hAnsi="標楷體" w:hint="eastAsia"/>
          <w:color w:val="FF0000"/>
          <w:sz w:val="28"/>
          <w:szCs w:val="28"/>
        </w:rPr>
        <w:t>預計</w:t>
      </w:r>
      <w:r w:rsidRPr="008D3D5D">
        <w:rPr>
          <w:rFonts w:ascii="標楷體" w:eastAsia="標楷體" w:hAnsi="標楷體" w:hint="eastAsia"/>
          <w:color w:val="FF0000"/>
          <w:sz w:val="28"/>
          <w:szCs w:val="28"/>
        </w:rPr>
        <w:t>於105年</w:t>
      </w:r>
      <w:r w:rsidR="0096661D" w:rsidRPr="008D3D5D">
        <w:rPr>
          <w:rFonts w:ascii="標楷體" w:eastAsia="標楷體" w:hAnsi="標楷體" w:hint="eastAsia"/>
          <w:color w:val="FF0000"/>
          <w:sz w:val="28"/>
          <w:szCs w:val="28"/>
        </w:rPr>
        <w:t>出版</w:t>
      </w:r>
      <w:r w:rsidRPr="008D3D5D">
        <w:rPr>
          <w:rFonts w:ascii="標楷體" w:eastAsia="標楷體" w:hAnsi="標楷體" w:hint="eastAsia"/>
          <w:color w:val="FF0000"/>
          <w:sz w:val="28"/>
          <w:szCs w:val="28"/>
        </w:rPr>
        <w:t>具性別意識</w:t>
      </w:r>
      <w:r w:rsidR="0096661D" w:rsidRPr="008D3D5D">
        <w:rPr>
          <w:rFonts w:ascii="標楷體" w:eastAsia="標楷體" w:hAnsi="標楷體" w:hint="eastAsia"/>
          <w:color w:val="FF0000"/>
          <w:sz w:val="28"/>
          <w:szCs w:val="28"/>
        </w:rPr>
        <w:t>出版品</w:t>
      </w:r>
      <w:r w:rsidRPr="008D3D5D">
        <w:rPr>
          <w:rFonts w:ascii="標楷體" w:eastAsia="標楷體" w:hAnsi="標楷體" w:hint="eastAsia"/>
          <w:color w:val="FF0000"/>
          <w:sz w:val="28"/>
          <w:szCs w:val="28"/>
        </w:rPr>
        <w:t>2項；</w:t>
      </w:r>
      <w:r w:rsidR="0096661D" w:rsidRPr="008D3D5D">
        <w:rPr>
          <w:rFonts w:ascii="標楷體" w:eastAsia="標楷體" w:hAnsi="標楷體" w:hint="eastAsia"/>
          <w:color w:val="FF0000"/>
          <w:sz w:val="28"/>
          <w:szCs w:val="28"/>
        </w:rPr>
        <w:t>國立傳統藝術中心賡續辦理「臺灣中生代音樂家群像調查研究計畫」，</w:t>
      </w:r>
      <w:r w:rsidRPr="008D3D5D">
        <w:rPr>
          <w:rFonts w:ascii="標楷體" w:eastAsia="標楷體" w:hAnsi="標楷體" w:hint="eastAsia"/>
          <w:color w:val="FF0000"/>
          <w:sz w:val="28"/>
          <w:szCs w:val="28"/>
        </w:rPr>
        <w:t>預計</w:t>
      </w:r>
      <w:r w:rsidR="0096661D" w:rsidRPr="008D3D5D">
        <w:rPr>
          <w:rFonts w:ascii="標楷體" w:eastAsia="標楷體" w:hAnsi="標楷體" w:hint="eastAsia"/>
          <w:color w:val="FF0000"/>
          <w:sz w:val="28"/>
          <w:szCs w:val="28"/>
        </w:rPr>
        <w:t>蒐集</w:t>
      </w:r>
      <w:r w:rsidRPr="008D3D5D">
        <w:rPr>
          <w:rFonts w:ascii="標楷體" w:eastAsia="標楷體" w:hAnsi="標楷體" w:hint="eastAsia"/>
          <w:color w:val="FF0000"/>
          <w:sz w:val="28"/>
          <w:szCs w:val="28"/>
        </w:rPr>
        <w:t>共14位女性音樂家、藝術家與藝文工作者之史料；</w:t>
      </w:r>
      <w:r w:rsidR="0096661D" w:rsidRPr="008D3D5D">
        <w:rPr>
          <w:rFonts w:ascii="標楷體" w:eastAsia="標楷體" w:hAnsi="標楷體" w:hint="eastAsia"/>
          <w:color w:val="FF0000"/>
          <w:sz w:val="28"/>
          <w:szCs w:val="28"/>
        </w:rPr>
        <w:t>國立臺灣文學館105年度「臺灣現當代作家研究資料彙編計畫」(第五階段)將出版《齊邦媛》、《杜潘芳格》、《於梨華》，第六階段將出版《胡品清》、《三毛》，共計5冊女性作家之研究資料彙編。</w:t>
      </w:r>
    </w:p>
    <w:p w:rsidR="0096661D" w:rsidRPr="005D6D4A" w:rsidRDefault="0096661D" w:rsidP="0096661D">
      <w:pPr>
        <w:widowControl/>
        <w:spacing w:before="120" w:after="120" w:line="440" w:lineRule="exact"/>
        <w:rPr>
          <w:rFonts w:ascii="標楷體" w:eastAsia="標楷體" w:hAnsi="標楷體"/>
          <w:color w:val="000000" w:themeColor="text1"/>
          <w:sz w:val="28"/>
          <w:szCs w:val="28"/>
        </w:rPr>
      </w:pPr>
    </w:p>
    <w:p w:rsidR="0096661D" w:rsidRPr="005D6D4A" w:rsidRDefault="0096661D" w:rsidP="0096661D">
      <w:pPr>
        <w:widowControl/>
        <w:spacing w:before="120" w:after="120" w:line="440" w:lineRule="exact"/>
        <w:ind w:leftChars="295" w:left="1229" w:hangingChars="186" w:hanging="521"/>
        <w:rPr>
          <w:rFonts w:ascii="標楷體" w:eastAsia="標楷體" w:hAnsi="標楷體"/>
          <w:color w:val="000000" w:themeColor="text1"/>
          <w:sz w:val="28"/>
          <w:szCs w:val="28"/>
        </w:rPr>
      </w:pPr>
      <w:r w:rsidRPr="005D6D4A">
        <w:rPr>
          <w:rFonts w:ascii="標楷體" w:eastAsia="標楷體" w:hAnsi="標楷體" w:hint="eastAsia"/>
          <w:b/>
          <w:color w:val="000000" w:themeColor="text1"/>
          <w:sz w:val="28"/>
          <w:szCs w:val="28"/>
        </w:rPr>
        <w:t>（三）關鍵績效指標三：辦理檢視及消弭民俗文化資產之性別</w:t>
      </w:r>
      <w:r w:rsidRPr="005D6D4A">
        <w:rPr>
          <w:rFonts w:ascii="標楷體" w:eastAsia="標楷體" w:hAnsi="標楷體"/>
          <w:b/>
          <w:color w:val="000000" w:themeColor="text1"/>
          <w:sz w:val="28"/>
          <w:szCs w:val="28"/>
        </w:rPr>
        <w:br/>
      </w:r>
      <w:r w:rsidRPr="005D6D4A">
        <w:rPr>
          <w:rFonts w:ascii="標楷體" w:eastAsia="標楷體" w:hAnsi="標楷體" w:hint="eastAsia"/>
          <w:b/>
          <w:color w:val="000000" w:themeColor="text1"/>
          <w:sz w:val="28"/>
          <w:szCs w:val="28"/>
        </w:rPr>
        <w:t xml:space="preserve">  歧視件數</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286"/>
        <w:gridCol w:w="1286"/>
        <w:gridCol w:w="1286"/>
        <w:gridCol w:w="1286"/>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衡量標準</w:t>
            </w:r>
          </w:p>
        </w:tc>
        <w:tc>
          <w:tcPr>
            <w:tcW w:w="5812" w:type="dxa"/>
            <w:gridSpan w:val="4"/>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逐年檢視重要民俗文化資產，以積極促進不同性別參與民俗文化資產核心儀式機會之平等，每年需檢視件數</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6</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6</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p>
    <w:p w:rsidR="008D3D5D" w:rsidRPr="008D3D5D" w:rsidRDefault="008D3D5D" w:rsidP="008D3D5D">
      <w:pPr>
        <w:widowControl/>
        <w:spacing w:before="120" w:after="120" w:line="440" w:lineRule="exact"/>
        <w:ind w:leftChars="320" w:left="1230" w:hangingChars="165" w:hanging="462"/>
        <w:rPr>
          <w:rFonts w:ascii="標楷體" w:eastAsia="標楷體" w:hAnsi="標楷體"/>
          <w:color w:val="FF0000"/>
          <w:sz w:val="28"/>
          <w:szCs w:val="28"/>
        </w:rPr>
      </w:pPr>
      <w:r w:rsidRPr="008D3D5D">
        <w:rPr>
          <w:rFonts w:ascii="標楷體" w:eastAsia="標楷體" w:hAnsi="標楷體" w:hint="eastAsia"/>
          <w:color w:val="FF0000"/>
          <w:sz w:val="28"/>
          <w:szCs w:val="28"/>
        </w:rPr>
        <w:t>(1)檢視性別平等：本部文化資產局104年辦理「三角湧迎尪公」、「小琉球三隆宮迎王平安祭典」2項民俗文化資產訪查，經委員訪查祭典過程瞭解「三角湧迎尪公」未有任何</w:t>
      </w:r>
      <w:r w:rsidRPr="008D3D5D">
        <w:rPr>
          <w:rFonts w:ascii="標楷體" w:eastAsia="標楷體" w:hAnsi="標楷體" w:hint="eastAsia"/>
          <w:color w:val="FF0000"/>
          <w:sz w:val="28"/>
          <w:szCs w:val="28"/>
        </w:rPr>
        <w:lastRenderedPageBreak/>
        <w:t>性別歧視現象，「小琉球三隆宮迎王平安祭典」除王府行儀特定儀式限制由祭典委員會人員主事外，非主事人員，不論男女皆不得進人，其他亦未見有性別不平等現象。</w:t>
      </w:r>
    </w:p>
    <w:p w:rsidR="008D3D5D" w:rsidRPr="008D3D5D" w:rsidRDefault="008D3D5D" w:rsidP="008D3D5D">
      <w:pPr>
        <w:widowControl/>
        <w:spacing w:before="120" w:after="120" w:line="440" w:lineRule="exact"/>
        <w:ind w:leftChars="320" w:left="1230" w:hangingChars="165" w:hanging="462"/>
        <w:rPr>
          <w:rFonts w:ascii="標楷體" w:eastAsia="標楷體" w:hAnsi="標楷體"/>
          <w:color w:val="FF0000"/>
          <w:sz w:val="28"/>
          <w:szCs w:val="28"/>
        </w:rPr>
      </w:pPr>
      <w:r w:rsidRPr="008D3D5D">
        <w:rPr>
          <w:rFonts w:ascii="標楷體" w:eastAsia="標楷體" w:hAnsi="標楷體" w:hint="eastAsia"/>
          <w:color w:val="FF0000"/>
          <w:sz w:val="28"/>
          <w:szCs w:val="28"/>
        </w:rPr>
        <w:t>(2)推動民俗參與機會平等：為鼓勵縣市政府推廣民俗性平觀點，本部文化資產局104年度補助臺南市文化資產管理處與民間團體共同辦理民俗文化資產「七娘媽生，作十六歲」成年禮核心儀式活動，在104年8月農曆七夕活動過程中推廣「男女均能參加成年禮」之性別平等觀念。</w:t>
      </w:r>
    </w:p>
    <w:p w:rsidR="0096661D" w:rsidRPr="008D3D5D" w:rsidRDefault="008D3D5D" w:rsidP="008D3D5D">
      <w:pPr>
        <w:widowControl/>
        <w:spacing w:before="120" w:after="120" w:line="440" w:lineRule="exact"/>
        <w:ind w:leftChars="320" w:left="1230" w:hangingChars="165" w:hanging="462"/>
        <w:rPr>
          <w:rFonts w:ascii="標楷體" w:eastAsia="標楷體" w:hAnsi="標楷體"/>
          <w:color w:val="FF0000"/>
          <w:sz w:val="28"/>
          <w:szCs w:val="28"/>
        </w:rPr>
      </w:pPr>
      <w:r w:rsidRPr="008D3D5D">
        <w:rPr>
          <w:rFonts w:ascii="標楷體" w:eastAsia="標楷體" w:hAnsi="標楷體" w:hint="eastAsia"/>
          <w:color w:val="FF0000"/>
          <w:sz w:val="28"/>
          <w:szCs w:val="28"/>
        </w:rPr>
        <w:t>(3)宣導民俗性平觀點：104年12月12日邀請張珣研究員與林茂賢教授以「從人類學角度看民俗文化資產與性別平等觀點」為題進行對談，並與參加民眾及民俗團體代表進行溝通交流，以推廣民俗參與機會平等觀念。</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3、檢討及策進作為：</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w:t>
      </w:r>
      <w:r w:rsidRPr="005D6D4A">
        <w:rPr>
          <w:rFonts w:ascii="標楷體" w:eastAsia="標楷體" w:hAnsi="標楷體" w:cs="新細明體" w:hint="eastAsia"/>
          <w:color w:val="000000" w:themeColor="text1"/>
          <w:kern w:val="0"/>
          <w:sz w:val="28"/>
          <w:szCs w:val="28"/>
        </w:rPr>
        <w:t>為</w:t>
      </w:r>
      <w:r w:rsidRPr="005D6D4A">
        <w:rPr>
          <w:rFonts w:ascii="標楷體" w:eastAsia="標楷體" w:hAnsi="標楷體" w:cs="新細明體"/>
          <w:color w:val="000000" w:themeColor="text1"/>
          <w:kern w:val="0"/>
          <w:sz w:val="28"/>
          <w:szCs w:val="28"/>
        </w:rPr>
        <w:t>討論</w:t>
      </w:r>
      <w:r w:rsidRPr="005D6D4A">
        <w:rPr>
          <w:rFonts w:ascii="標楷體" w:eastAsia="標楷體" w:hAnsi="標楷體" w:cs="新細明體" w:hint="eastAsia"/>
          <w:color w:val="000000" w:themeColor="text1"/>
          <w:kern w:val="0"/>
          <w:sz w:val="28"/>
          <w:szCs w:val="28"/>
        </w:rPr>
        <w:t>未來對</w:t>
      </w:r>
      <w:r w:rsidRPr="005D6D4A">
        <w:rPr>
          <w:rFonts w:ascii="標楷體" w:eastAsia="標楷體" w:hAnsi="標楷體" w:cs="新細明體"/>
          <w:color w:val="000000" w:themeColor="text1"/>
          <w:kern w:val="0"/>
          <w:sz w:val="28"/>
          <w:szCs w:val="28"/>
        </w:rPr>
        <w:t>於民俗文化資產適當之輔導</w:t>
      </w:r>
      <w:r w:rsidRPr="005D6D4A">
        <w:rPr>
          <w:rFonts w:ascii="標楷體" w:eastAsia="標楷體" w:hAnsi="標楷體" w:cs="新細明體" w:hint="eastAsia"/>
          <w:color w:val="000000" w:themeColor="text1"/>
          <w:kern w:val="0"/>
          <w:sz w:val="28"/>
          <w:szCs w:val="28"/>
        </w:rPr>
        <w:t>方案，</w:t>
      </w:r>
      <w:r w:rsidRPr="005D6D4A">
        <w:rPr>
          <w:rFonts w:ascii="標楷體" w:eastAsia="標楷體" w:hAnsi="標楷體" w:cs="新細明體"/>
          <w:color w:val="000000" w:themeColor="text1"/>
          <w:kern w:val="0"/>
          <w:sz w:val="28"/>
          <w:szCs w:val="28"/>
        </w:rPr>
        <w:t>本</w:t>
      </w:r>
      <w:r w:rsidRPr="005D6D4A">
        <w:rPr>
          <w:rFonts w:ascii="標楷體" w:eastAsia="標楷體" w:hAnsi="標楷體" w:cs="新細明體" w:hint="eastAsia"/>
          <w:color w:val="000000" w:themeColor="text1"/>
          <w:kern w:val="0"/>
          <w:sz w:val="28"/>
          <w:szCs w:val="28"/>
        </w:rPr>
        <w:t>部文化資產局於104年7月22日</w:t>
      </w:r>
      <w:r w:rsidRPr="005D6D4A">
        <w:rPr>
          <w:rFonts w:ascii="標楷體" w:eastAsia="標楷體" w:hAnsi="標楷體" w:cs="新細明體"/>
          <w:color w:val="000000" w:themeColor="text1"/>
          <w:kern w:val="0"/>
          <w:sz w:val="28"/>
          <w:szCs w:val="28"/>
        </w:rPr>
        <w:t>邀請文化部性</w:t>
      </w:r>
      <w:r w:rsidRPr="005D6D4A">
        <w:rPr>
          <w:rFonts w:ascii="標楷體" w:eastAsia="標楷體" w:hAnsi="標楷體" w:cs="新細明體" w:hint="eastAsia"/>
          <w:color w:val="000000" w:themeColor="text1"/>
          <w:kern w:val="0"/>
          <w:sz w:val="28"/>
          <w:szCs w:val="28"/>
        </w:rPr>
        <w:t>別</w:t>
      </w:r>
      <w:r w:rsidRPr="005D6D4A">
        <w:rPr>
          <w:rFonts w:ascii="標楷體" w:eastAsia="標楷體" w:hAnsi="標楷體" w:cs="新細明體"/>
          <w:color w:val="000000" w:themeColor="text1"/>
          <w:kern w:val="0"/>
          <w:sz w:val="28"/>
          <w:szCs w:val="28"/>
        </w:rPr>
        <w:t>平</w:t>
      </w:r>
      <w:r w:rsidRPr="005D6D4A">
        <w:rPr>
          <w:rFonts w:ascii="標楷體" w:eastAsia="標楷體" w:hAnsi="標楷體" w:cs="新細明體" w:hint="eastAsia"/>
          <w:color w:val="000000" w:themeColor="text1"/>
          <w:kern w:val="0"/>
          <w:sz w:val="28"/>
          <w:szCs w:val="28"/>
        </w:rPr>
        <w:t>等專案</w:t>
      </w:r>
      <w:r w:rsidRPr="005D6D4A">
        <w:rPr>
          <w:rFonts w:ascii="標楷體" w:eastAsia="標楷體" w:hAnsi="標楷體" w:cs="新細明體"/>
          <w:color w:val="000000" w:themeColor="text1"/>
          <w:kern w:val="0"/>
          <w:sz w:val="28"/>
          <w:szCs w:val="28"/>
        </w:rPr>
        <w:t>小組委員及民俗文化資產審議委員</w:t>
      </w:r>
      <w:r w:rsidR="00BF111B" w:rsidRPr="005D6D4A">
        <w:rPr>
          <w:rFonts w:ascii="標楷體" w:eastAsia="標楷體" w:hAnsi="標楷體" w:cs="新細明體" w:hint="eastAsia"/>
          <w:color w:val="000000" w:themeColor="text1"/>
          <w:kern w:val="0"/>
          <w:sz w:val="28"/>
          <w:szCs w:val="28"/>
        </w:rPr>
        <w:t>，</w:t>
      </w:r>
      <w:r w:rsidRPr="005D6D4A">
        <w:rPr>
          <w:rFonts w:ascii="標楷體" w:eastAsia="標楷體" w:hAnsi="標楷體" w:cs="新細明體" w:hint="eastAsia"/>
          <w:color w:val="000000" w:themeColor="text1"/>
          <w:kern w:val="0"/>
          <w:sz w:val="28"/>
          <w:szCs w:val="28"/>
        </w:rPr>
        <w:t>召開</w:t>
      </w:r>
      <w:r w:rsidRPr="005D6D4A">
        <w:rPr>
          <w:rFonts w:ascii="標楷體" w:eastAsia="標楷體" w:hAnsi="標楷體" w:hint="eastAsia"/>
          <w:color w:val="000000" w:themeColor="text1"/>
          <w:sz w:val="28"/>
          <w:szCs w:val="28"/>
        </w:rPr>
        <w:t>「民俗文化資產與性別觀點座談會」</w:t>
      </w:r>
      <w:r w:rsidRPr="005D6D4A">
        <w:rPr>
          <w:rFonts w:ascii="標楷體" w:eastAsia="標楷體" w:hAnsi="標楷體" w:cs="新細明體" w:hint="eastAsia"/>
          <w:color w:val="000000" w:themeColor="text1"/>
          <w:kern w:val="0"/>
          <w:sz w:val="28"/>
          <w:szCs w:val="28"/>
        </w:rPr>
        <w:t>，出席委員</w:t>
      </w:r>
      <w:r w:rsidRPr="005D6D4A">
        <w:rPr>
          <w:rFonts w:ascii="標楷體" w:eastAsia="標楷體" w:hAnsi="標楷體" w:hint="eastAsia"/>
          <w:color w:val="000000" w:themeColor="text1"/>
          <w:kern w:val="0"/>
          <w:sz w:val="28"/>
          <w:szCs w:val="28"/>
          <w:lang w:val="zh-TW"/>
        </w:rPr>
        <w:t>及行政院性平處代表建議：持續辦理座談會或研討會，俾增加性別平等委員與民俗專家學者及民俗保存團體之間的對話與溝通交流；辦理性別平等觀點研習活動，宣導性別平等、民俗參與機會平等觀念。</w:t>
      </w:r>
      <w:r w:rsidRPr="005D6D4A">
        <w:rPr>
          <w:rFonts w:ascii="標楷體" w:eastAsia="標楷體" w:hAnsi="標楷體" w:cs="新細明體" w:hint="eastAsia"/>
          <w:color w:val="000000" w:themeColor="text1"/>
          <w:kern w:val="0"/>
          <w:sz w:val="28"/>
          <w:szCs w:val="28"/>
        </w:rPr>
        <w:t>105年度</w:t>
      </w:r>
      <w:r w:rsidR="00BF111B" w:rsidRPr="005D6D4A">
        <w:rPr>
          <w:rFonts w:ascii="標楷體" w:eastAsia="標楷體" w:hAnsi="標楷體" w:cs="新細明體" w:hint="eastAsia"/>
          <w:color w:val="000000" w:themeColor="text1"/>
          <w:kern w:val="0"/>
          <w:sz w:val="28"/>
          <w:szCs w:val="28"/>
        </w:rPr>
        <w:t>，</w:t>
      </w:r>
      <w:r w:rsidRPr="005D6D4A">
        <w:rPr>
          <w:rFonts w:ascii="標楷體" w:eastAsia="標楷體" w:hAnsi="標楷體" w:cs="新細明體" w:hint="eastAsia"/>
          <w:color w:val="000000" w:themeColor="text1"/>
          <w:kern w:val="0"/>
          <w:sz w:val="28"/>
          <w:szCs w:val="28"/>
        </w:rPr>
        <w:t>本</w:t>
      </w:r>
      <w:r w:rsidRPr="005D6D4A">
        <w:rPr>
          <w:rFonts w:ascii="標楷體" w:eastAsia="標楷體" w:hAnsi="標楷體" w:hint="eastAsia"/>
          <w:color w:val="000000" w:themeColor="text1"/>
          <w:sz w:val="28"/>
          <w:szCs w:val="28"/>
        </w:rPr>
        <w:t>部文資</w:t>
      </w:r>
      <w:r w:rsidRPr="005D6D4A">
        <w:rPr>
          <w:rFonts w:ascii="標楷體" w:eastAsia="標楷體" w:hAnsi="標楷體" w:cs="新細明體" w:hint="eastAsia"/>
          <w:color w:val="000000" w:themeColor="text1"/>
          <w:kern w:val="0"/>
          <w:sz w:val="28"/>
          <w:szCs w:val="28"/>
        </w:rPr>
        <w:t>局將參照前述會議建議事項辦理。</w:t>
      </w:r>
      <w:r w:rsidRPr="005D6D4A">
        <w:rPr>
          <w:rFonts w:ascii="標楷體" w:eastAsia="標楷體" w:hAnsi="標楷體"/>
          <w:color w:val="000000" w:themeColor="text1"/>
          <w:sz w:val="28"/>
          <w:szCs w:val="28"/>
        </w:rPr>
        <w:t xml:space="preserve"> </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p>
    <w:p w:rsidR="0096661D" w:rsidRPr="005D6D4A" w:rsidRDefault="0096661D" w:rsidP="0096661D">
      <w:pPr>
        <w:widowControl/>
        <w:numPr>
          <w:ilvl w:val="0"/>
          <w:numId w:val="40"/>
        </w:numPr>
        <w:spacing w:before="120" w:after="120" w:line="440" w:lineRule="exact"/>
        <w:ind w:left="812" w:hanging="588"/>
        <w:rPr>
          <w:rFonts w:ascii="標楷體" w:eastAsia="標楷體" w:hAnsi="標楷體"/>
          <w:b/>
          <w:color w:val="000000" w:themeColor="text1"/>
          <w:sz w:val="28"/>
          <w:szCs w:val="28"/>
        </w:rPr>
      </w:pPr>
      <w:r w:rsidRPr="005D6D4A">
        <w:rPr>
          <w:rFonts w:ascii="標楷體" w:eastAsia="標楷體" w:hAnsi="標楷體" w:hint="eastAsia"/>
          <w:b/>
          <w:color w:val="000000" w:themeColor="text1"/>
          <w:sz w:val="28"/>
          <w:szCs w:val="28"/>
        </w:rPr>
        <w:t>賡續推動性別主流化各項工具，並提升推動品質及擴大成效</w:t>
      </w:r>
    </w:p>
    <w:p w:rsidR="0096661D" w:rsidRPr="005D6D4A" w:rsidRDefault="0096661D" w:rsidP="0096661D">
      <w:pPr>
        <w:widowControl/>
        <w:spacing w:before="120" w:after="120" w:line="440" w:lineRule="exact"/>
        <w:ind w:leftChars="140" w:left="1216" w:hangingChars="314" w:hanging="880"/>
        <w:rPr>
          <w:rFonts w:ascii="標楷體" w:eastAsia="標楷體" w:hAnsi="標楷體"/>
          <w:color w:val="000000" w:themeColor="text1"/>
          <w:sz w:val="28"/>
          <w:szCs w:val="28"/>
        </w:rPr>
      </w:pPr>
      <w:r w:rsidRPr="005D6D4A">
        <w:rPr>
          <w:rFonts w:ascii="標楷體" w:eastAsia="標楷體" w:hAnsi="標楷體" w:hint="eastAsia"/>
          <w:b/>
          <w:color w:val="000000" w:themeColor="text1"/>
          <w:sz w:val="28"/>
          <w:szCs w:val="28"/>
        </w:rPr>
        <w:t>（一）關鍵績效指標1：性別主流化訓練參訓率(%)</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286"/>
        <w:gridCol w:w="1286"/>
        <w:gridCol w:w="1286"/>
        <w:gridCol w:w="1286"/>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衡量標準</w:t>
            </w:r>
          </w:p>
        </w:tc>
        <w:tc>
          <w:tcPr>
            <w:tcW w:w="5812" w:type="dxa"/>
            <w:gridSpan w:val="4"/>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〔本機關及所屬機關</w:t>
            </w:r>
            <w:r w:rsidRPr="005D6D4A">
              <w:rPr>
                <w:rFonts w:ascii="標楷體" w:eastAsia="標楷體" w:hAnsi="標楷體"/>
                <w:color w:val="000000" w:themeColor="text1"/>
                <w:sz w:val="28"/>
                <w:szCs w:val="28"/>
              </w:rPr>
              <w:t>職員於當年度參加性別主流化相關訓練課程人數</w:t>
            </w:r>
            <w:r w:rsidRPr="005D6D4A">
              <w:rPr>
                <w:rFonts w:ascii="標楷體" w:eastAsia="標楷體" w:hAnsi="標楷體" w:hint="eastAsia"/>
                <w:color w:val="000000" w:themeColor="text1"/>
                <w:sz w:val="28"/>
                <w:szCs w:val="28"/>
              </w:rPr>
              <w:t xml:space="preserve"> / </w:t>
            </w:r>
            <w:r w:rsidRPr="005D6D4A">
              <w:rPr>
                <w:rFonts w:ascii="標楷體" w:eastAsia="標楷體" w:hAnsi="標楷體"/>
                <w:color w:val="000000" w:themeColor="text1"/>
                <w:sz w:val="28"/>
                <w:szCs w:val="28"/>
              </w:rPr>
              <w:t>本機關</w:t>
            </w:r>
            <w:r w:rsidRPr="005D6D4A">
              <w:rPr>
                <w:rFonts w:ascii="標楷體" w:eastAsia="標楷體" w:hAnsi="標楷體" w:hint="eastAsia"/>
                <w:color w:val="000000" w:themeColor="text1"/>
                <w:sz w:val="28"/>
                <w:szCs w:val="28"/>
              </w:rPr>
              <w:t>及所屬機關</w:t>
            </w:r>
            <w:r w:rsidRPr="005D6D4A">
              <w:rPr>
                <w:rFonts w:ascii="標楷體" w:eastAsia="標楷體" w:hAnsi="標楷體"/>
                <w:color w:val="000000" w:themeColor="text1"/>
                <w:sz w:val="28"/>
                <w:szCs w:val="28"/>
              </w:rPr>
              <w:t>職員總數</w:t>
            </w:r>
            <w:r w:rsidRPr="005D6D4A">
              <w:rPr>
                <w:rFonts w:ascii="標楷體" w:eastAsia="標楷體" w:hAnsi="標楷體" w:hint="eastAsia"/>
                <w:color w:val="000000" w:themeColor="text1"/>
                <w:sz w:val="28"/>
                <w:szCs w:val="28"/>
              </w:rPr>
              <w:t>〕×100%</w:t>
            </w:r>
          </w:p>
        </w:tc>
      </w:tr>
      <w:tr w:rsidR="005D6D4A" w:rsidRPr="005D6D4A" w:rsidTr="0096661D">
        <w:trPr>
          <w:trHeight w:val="401"/>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80</w:t>
            </w:r>
          </w:p>
        </w:tc>
        <w:tc>
          <w:tcPr>
            <w:tcW w:w="1453" w:type="dxa"/>
            <w:shd w:val="clear" w:color="auto" w:fill="auto"/>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8</w:t>
            </w:r>
            <w:r w:rsidRPr="005D6D4A">
              <w:rPr>
                <w:rFonts w:ascii="標楷體" w:eastAsia="標楷體" w:hAnsi="標楷體" w:hint="eastAsia"/>
                <w:color w:val="000000" w:themeColor="text1"/>
                <w:sz w:val="28"/>
                <w:szCs w:val="28"/>
              </w:rPr>
              <w:t>5</w:t>
            </w:r>
          </w:p>
        </w:tc>
        <w:tc>
          <w:tcPr>
            <w:tcW w:w="1453" w:type="dxa"/>
            <w:shd w:val="clear" w:color="auto" w:fill="auto"/>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90</w:t>
            </w:r>
          </w:p>
        </w:tc>
        <w:tc>
          <w:tcPr>
            <w:tcW w:w="1453" w:type="dxa"/>
            <w:shd w:val="clear" w:color="auto" w:fill="auto"/>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90</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86</w:t>
            </w:r>
          </w:p>
        </w:tc>
        <w:tc>
          <w:tcPr>
            <w:tcW w:w="1453" w:type="dxa"/>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92</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r w:rsidRPr="005D6D4A">
              <w:rPr>
                <w:rFonts w:ascii="標楷體" w:eastAsia="標楷體" w:hAnsi="標楷體"/>
                <w:color w:val="000000" w:themeColor="text1"/>
                <w:sz w:val="28"/>
                <w:szCs w:val="28"/>
              </w:rPr>
              <w:t>.1</w:t>
            </w:r>
          </w:p>
        </w:tc>
        <w:tc>
          <w:tcPr>
            <w:tcW w:w="1453" w:type="dxa"/>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1.1</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本部及所屬機關共計辦理41場次性別主流化相關課程（包含性別主流化及消除對婦女一切歧視公約等課程），職員總數767人，參加自辦、跨機關聯合辦理、薦送或自行進修性別主流化訓練（含實體及數位課程）人數706人，參訓率92%。</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3、檢討及策進作為：</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本部將賡續辦理相關宣導及訓練，並製作相關教材。</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 xml:space="preserve"> </w:t>
      </w:r>
    </w:p>
    <w:p w:rsidR="0096661D" w:rsidRPr="005D6D4A" w:rsidRDefault="0096661D" w:rsidP="0096661D">
      <w:pPr>
        <w:widowControl/>
        <w:spacing w:before="120" w:after="120" w:line="440" w:lineRule="exact"/>
        <w:ind w:leftChars="140" w:left="1216" w:hangingChars="314" w:hanging="880"/>
        <w:rPr>
          <w:rFonts w:ascii="標楷體" w:eastAsia="標楷體" w:hAnsi="標楷體"/>
          <w:color w:val="000000" w:themeColor="text1"/>
          <w:sz w:val="28"/>
          <w:szCs w:val="28"/>
        </w:rPr>
      </w:pPr>
      <w:r w:rsidRPr="005D6D4A">
        <w:rPr>
          <w:rFonts w:ascii="標楷體" w:eastAsia="標楷體" w:hAnsi="標楷體" w:hint="eastAsia"/>
          <w:b/>
          <w:color w:val="000000" w:themeColor="text1"/>
          <w:sz w:val="28"/>
          <w:szCs w:val="28"/>
        </w:rPr>
        <w:t>（二）關鍵績效指標2：</w:t>
      </w:r>
      <w:r w:rsidRPr="005D6D4A">
        <w:rPr>
          <w:rFonts w:ascii="標楷體" w:eastAsia="標楷體" w:hAnsi="標楷體" w:hint="eastAsia"/>
          <w:color w:val="000000" w:themeColor="text1"/>
          <w:sz w:val="28"/>
          <w:szCs w:val="28"/>
        </w:rPr>
        <w:t>中長程個案計畫、計畫或措施訂定性別考核指標之案件數</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286"/>
        <w:gridCol w:w="1286"/>
        <w:gridCol w:w="1286"/>
        <w:gridCol w:w="1286"/>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衡量標準</w:t>
            </w:r>
          </w:p>
        </w:tc>
        <w:tc>
          <w:tcPr>
            <w:tcW w:w="5812" w:type="dxa"/>
            <w:gridSpan w:val="4"/>
            <w:shd w:val="clear" w:color="auto" w:fill="auto"/>
            <w:vAlign w:val="center"/>
          </w:tcPr>
          <w:p w:rsidR="0096661D" w:rsidRPr="005D6D4A" w:rsidRDefault="0096661D" w:rsidP="0096661D">
            <w:pPr>
              <w:widowControl/>
              <w:spacing w:before="60" w:after="60" w:line="400" w:lineRule="exact"/>
              <w:jc w:val="both"/>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本機關及所屬機關年度提報之中長程個案計畫、計畫或措施訂定性別考核指標之案件數</w:t>
            </w:r>
          </w:p>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（註：性別考核指標係指為衡量性別目標達成情形所訂之績效指標。）</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Cs w:val="24"/>
              </w:rPr>
            </w:pPr>
            <w:r w:rsidRPr="005D6D4A">
              <w:rPr>
                <w:rFonts w:ascii="標楷體" w:eastAsia="標楷體" w:hAnsi="標楷體" w:hint="eastAsia"/>
                <w:color w:val="000000" w:themeColor="text1"/>
                <w:sz w:val="28"/>
                <w:szCs w:val="28"/>
              </w:rPr>
              <w:t>1</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Cs w:val="24"/>
              </w:rPr>
            </w:pPr>
            <w:r w:rsidRPr="005D6D4A">
              <w:rPr>
                <w:rFonts w:ascii="標楷體" w:eastAsia="標楷體" w:hAnsi="標楷體" w:hint="eastAsia"/>
                <w:color w:val="000000" w:themeColor="text1"/>
                <w:sz w:val="28"/>
                <w:szCs w:val="28"/>
              </w:rPr>
              <w:t>2</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Cs w:val="24"/>
              </w:rPr>
            </w:pPr>
            <w:r w:rsidRPr="005D6D4A">
              <w:rPr>
                <w:rFonts w:ascii="標楷體" w:eastAsia="標楷體" w:hAnsi="標楷體" w:hint="eastAsia"/>
                <w:color w:val="000000" w:themeColor="text1"/>
                <w:sz w:val="28"/>
                <w:szCs w:val="28"/>
              </w:rPr>
              <w:t>2</w:t>
            </w:r>
          </w:p>
        </w:tc>
        <w:tc>
          <w:tcPr>
            <w:tcW w:w="1453" w:type="dxa"/>
            <w:shd w:val="clear" w:color="auto" w:fill="auto"/>
          </w:tcPr>
          <w:p w:rsidR="0096661D" w:rsidRPr="005D6D4A" w:rsidRDefault="0096661D" w:rsidP="0096661D">
            <w:pPr>
              <w:spacing w:before="60" w:after="60" w:line="400" w:lineRule="exact"/>
              <w:jc w:val="center"/>
              <w:rPr>
                <w:rFonts w:ascii="標楷體" w:eastAsia="標楷體" w:hAnsi="標楷體"/>
                <w:color w:val="000000" w:themeColor="text1"/>
                <w:szCs w:val="24"/>
              </w:rPr>
            </w:pPr>
            <w:r w:rsidRPr="005D6D4A">
              <w:rPr>
                <w:rFonts w:ascii="標楷體" w:eastAsia="標楷體" w:hAnsi="標楷體" w:hint="eastAsia"/>
                <w:color w:val="000000" w:themeColor="text1"/>
                <w:sz w:val="28"/>
                <w:szCs w:val="28"/>
              </w:rPr>
              <w:t>2</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0</w:t>
            </w:r>
          </w:p>
        </w:tc>
        <w:tc>
          <w:tcPr>
            <w:tcW w:w="1453" w:type="dxa"/>
            <w:shd w:val="clear" w:color="auto" w:fill="auto"/>
            <w:vAlign w:val="center"/>
          </w:tcPr>
          <w:p w:rsidR="0096661D" w:rsidRPr="005D6D4A" w:rsidRDefault="00127422"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0</w:t>
            </w:r>
          </w:p>
        </w:tc>
        <w:tc>
          <w:tcPr>
            <w:tcW w:w="1453" w:type="dxa"/>
            <w:shd w:val="clear" w:color="auto" w:fill="auto"/>
            <w:vAlign w:val="center"/>
          </w:tcPr>
          <w:p w:rsidR="0096661D" w:rsidRPr="005D6D4A" w:rsidRDefault="00127422"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0.5</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p>
    <w:p w:rsidR="00127422"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 xml:space="preserve">   </w:t>
      </w:r>
      <w:r w:rsidR="00127422" w:rsidRPr="005D6D4A">
        <w:rPr>
          <w:rFonts w:ascii="標楷體" w:eastAsia="標楷體" w:hAnsi="標楷體" w:hint="eastAsia"/>
          <w:color w:val="000000" w:themeColor="text1"/>
          <w:sz w:val="28"/>
          <w:szCs w:val="28"/>
        </w:rPr>
        <w:t>國立傳統藝術中心中長程計畫「跨藝匯流‧傳統入心」─國立傳統藝術中心公共建設(104-109年)跨域加值發展計畫，參考行政院性別平等處之意見，於計畫書中規劃3項性別指標，分別為性別友善措施(滿意度擬達80分)、藝文活動各性別參與度(男女比例1:3)、舉辦性別意識培力課程(5小時)。</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3、檢討及策進作為：</w:t>
      </w:r>
    </w:p>
    <w:p w:rsidR="0096661D" w:rsidRPr="005D6D4A" w:rsidRDefault="00127422"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w:t>
      </w:r>
      <w:r w:rsidR="0096661D" w:rsidRPr="005D6D4A">
        <w:rPr>
          <w:rFonts w:ascii="標楷體" w:eastAsia="標楷體" w:hAnsi="標楷體" w:hint="eastAsia"/>
          <w:color w:val="000000" w:themeColor="text1"/>
          <w:sz w:val="28"/>
          <w:szCs w:val="28"/>
        </w:rPr>
        <w:t>國父紀念館跨域加值計畫104-109年依程序參與學者專家所提之建議，初期規劃定期舉行內部教育訓練，以提升人</w:t>
      </w:r>
      <w:r w:rsidRPr="005D6D4A">
        <w:rPr>
          <w:rFonts w:ascii="標楷體" w:eastAsia="標楷體" w:hAnsi="標楷體" w:hint="eastAsia"/>
          <w:color w:val="000000" w:themeColor="text1"/>
          <w:sz w:val="28"/>
          <w:szCs w:val="28"/>
        </w:rPr>
        <w:t>員具性別概念的決策能力，並於工程完工後進行性別友善</w:t>
      </w:r>
      <w:r w:rsidR="0096661D" w:rsidRPr="005D6D4A">
        <w:rPr>
          <w:rFonts w:ascii="標楷體" w:eastAsia="標楷體" w:hAnsi="標楷體" w:hint="eastAsia"/>
          <w:color w:val="000000" w:themeColor="text1"/>
          <w:sz w:val="28"/>
          <w:szCs w:val="28"/>
        </w:rPr>
        <w:t>滿意度調查，以利研議訂定性別考核指標。</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p>
    <w:p w:rsidR="0096661D" w:rsidRPr="005D6D4A" w:rsidRDefault="0096661D" w:rsidP="0096661D">
      <w:pPr>
        <w:widowControl/>
        <w:spacing w:before="120" w:after="120" w:line="440" w:lineRule="exact"/>
        <w:ind w:leftChars="-1" w:left="-2" w:firstLineChars="121" w:firstLine="339"/>
        <w:rPr>
          <w:rFonts w:ascii="標楷體" w:eastAsia="標楷體" w:hAnsi="標楷體"/>
          <w:b/>
          <w:color w:val="000000" w:themeColor="text1"/>
          <w:sz w:val="28"/>
          <w:szCs w:val="28"/>
        </w:rPr>
      </w:pPr>
      <w:r w:rsidRPr="005D6D4A">
        <w:rPr>
          <w:rFonts w:ascii="標楷體" w:eastAsia="標楷體" w:hAnsi="標楷體" w:hint="eastAsia"/>
          <w:b/>
          <w:color w:val="000000" w:themeColor="text1"/>
          <w:sz w:val="28"/>
          <w:szCs w:val="28"/>
        </w:rPr>
        <w:t>（三）關鍵績效指標3：</w:t>
      </w:r>
      <w:r w:rsidRPr="005D6D4A">
        <w:rPr>
          <w:rFonts w:ascii="標楷體" w:eastAsia="標楷體" w:hAnsi="標楷體" w:hint="eastAsia"/>
          <w:color w:val="000000" w:themeColor="text1"/>
          <w:sz w:val="28"/>
          <w:szCs w:val="28"/>
        </w:rPr>
        <w:t>性別統計指標項目新增數</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286"/>
        <w:gridCol w:w="1286"/>
        <w:gridCol w:w="1286"/>
        <w:gridCol w:w="1286"/>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衡量標準</w:t>
            </w:r>
          </w:p>
        </w:tc>
        <w:tc>
          <w:tcPr>
            <w:tcW w:w="5812" w:type="dxa"/>
            <w:gridSpan w:val="4"/>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本機關及所屬機關當年度新增並公布於機關網頁之性別統計指標項目數</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vAlign w:val="center"/>
          </w:tcPr>
          <w:p w:rsidR="0096661D" w:rsidRPr="005D6D4A" w:rsidRDefault="0096661D" w:rsidP="0096661D">
            <w:pPr>
              <w:widowControl/>
              <w:spacing w:line="360" w:lineRule="exact"/>
              <w:ind w:leftChars="-40" w:left="-96" w:rightChars="-33" w:right="-79" w:firstLineChars="10" w:firstLine="28"/>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ind w:leftChars="-40" w:left="-96" w:rightChars="-33" w:right="-79" w:firstLineChars="10" w:firstLine="28"/>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ind w:leftChars="-40" w:left="-96" w:rightChars="-33" w:right="-79" w:firstLineChars="10" w:firstLine="28"/>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ind w:leftChars="-40" w:left="-96" w:rightChars="-33" w:right="-79" w:firstLineChars="10" w:firstLine="28"/>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0</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0</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本部已於官網公告「文化部文化資產局各類文化資產活動性別統計、分析暨改善措施」乙篇，將各類文化資產活動劃分為綜合型、無形及有形三項類型進行統計分析，並提出相關改進措施。</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3、檢討及策進作為：</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 xml:space="preserve">   本部已於104</w:t>
      </w:r>
      <w:r w:rsidR="008D3D5D">
        <w:rPr>
          <w:rFonts w:ascii="標楷體" w:eastAsia="標楷體" w:hAnsi="標楷體" w:hint="eastAsia"/>
          <w:color w:val="000000" w:themeColor="text1"/>
          <w:sz w:val="28"/>
          <w:szCs w:val="28"/>
        </w:rPr>
        <w:t>年新增出版獎項之性別統計，</w:t>
      </w:r>
      <w:r w:rsidR="008D3D5D" w:rsidRPr="008D3D5D">
        <w:rPr>
          <w:rFonts w:ascii="標楷體" w:eastAsia="標楷體" w:hAnsi="標楷體" w:hint="eastAsia"/>
          <w:color w:val="FF0000"/>
          <w:sz w:val="28"/>
          <w:szCs w:val="28"/>
        </w:rPr>
        <w:t>105年</w:t>
      </w:r>
      <w:r w:rsidRPr="005D6D4A">
        <w:rPr>
          <w:rFonts w:ascii="標楷體" w:eastAsia="標楷體" w:hAnsi="標楷體" w:hint="eastAsia"/>
          <w:color w:val="000000" w:themeColor="text1"/>
          <w:sz w:val="28"/>
          <w:szCs w:val="28"/>
        </w:rPr>
        <w:t>持續新增其餘各項性別統計，俾研議適當之性別統計指標，並提報至本部性別平等專案小組審核後公告於本部官網。</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p>
    <w:p w:rsidR="0096661D" w:rsidRPr="005D6D4A" w:rsidRDefault="0096661D" w:rsidP="0096661D">
      <w:pPr>
        <w:widowControl/>
        <w:spacing w:before="120" w:after="120" w:line="440" w:lineRule="exact"/>
        <w:ind w:leftChars="140" w:left="1275" w:hangingChars="335" w:hanging="939"/>
        <w:rPr>
          <w:rFonts w:ascii="標楷體" w:eastAsia="標楷體" w:hAnsi="標楷體"/>
          <w:b/>
          <w:color w:val="000000" w:themeColor="text1"/>
          <w:sz w:val="28"/>
          <w:szCs w:val="28"/>
        </w:rPr>
      </w:pPr>
      <w:r w:rsidRPr="005D6D4A">
        <w:rPr>
          <w:rFonts w:ascii="標楷體" w:eastAsia="標楷體" w:hAnsi="標楷體" w:hint="eastAsia"/>
          <w:b/>
          <w:color w:val="000000" w:themeColor="text1"/>
          <w:sz w:val="28"/>
          <w:szCs w:val="28"/>
        </w:rPr>
        <w:t>（四）關鍵績效指標4：</w:t>
      </w:r>
      <w:r w:rsidRPr="005D6D4A">
        <w:rPr>
          <w:rFonts w:ascii="標楷體" w:eastAsia="標楷體" w:hAnsi="標楷體" w:hint="eastAsia"/>
          <w:color w:val="000000" w:themeColor="text1"/>
          <w:sz w:val="28"/>
          <w:szCs w:val="28"/>
        </w:rPr>
        <w:t>性別影響評估計畫預算比重增加數</w:t>
      </w:r>
    </w:p>
    <w:p w:rsidR="0096661D" w:rsidRPr="005D6D4A" w:rsidRDefault="0096661D" w:rsidP="0096661D">
      <w:pPr>
        <w:widowControl/>
        <w:spacing w:before="120" w:after="120" w:line="440" w:lineRule="exact"/>
        <w:ind w:leftChars="321" w:left="1529" w:hangingChars="271" w:hanging="75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305"/>
        <w:gridCol w:w="1305"/>
        <w:gridCol w:w="1275"/>
        <w:gridCol w:w="1275"/>
      </w:tblGrid>
      <w:tr w:rsidR="005D6D4A" w:rsidRPr="005D6D4A" w:rsidTr="0096661D">
        <w:tc>
          <w:tcPr>
            <w:tcW w:w="1985" w:type="dxa"/>
            <w:tcBorders>
              <w:tl2br w:val="single" w:sz="4" w:space="0" w:color="auto"/>
            </w:tcBorders>
            <w:shd w:val="clear" w:color="auto" w:fill="auto"/>
            <w:vAlign w:val="bottom"/>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年度</w:t>
            </w:r>
          </w:p>
          <w:p w:rsidR="0096661D" w:rsidRPr="005D6D4A" w:rsidRDefault="0096661D" w:rsidP="0096661D">
            <w:pPr>
              <w:widowControl/>
              <w:spacing w:line="28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項目</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103年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104年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105年</w:t>
            </w:r>
          </w:p>
        </w:tc>
        <w:tc>
          <w:tcPr>
            <w:tcW w:w="1453" w:type="dxa"/>
            <w:shd w:val="clear" w:color="auto" w:fill="auto"/>
            <w:vAlign w:val="center"/>
          </w:tcPr>
          <w:p w:rsidR="0096661D" w:rsidRPr="005D6D4A" w:rsidRDefault="0096661D" w:rsidP="0096661D">
            <w:pPr>
              <w:widowControl/>
              <w:spacing w:line="280" w:lineRule="exact"/>
              <w:jc w:val="righ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106年</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衡量標準</w:t>
            </w:r>
          </w:p>
        </w:tc>
        <w:tc>
          <w:tcPr>
            <w:tcW w:w="5812" w:type="dxa"/>
            <w:gridSpan w:val="4"/>
            <w:shd w:val="clear" w:color="auto" w:fill="auto"/>
            <w:vAlign w:val="center"/>
          </w:tcPr>
          <w:p w:rsidR="0096661D" w:rsidRPr="005D6D4A" w:rsidRDefault="0096661D" w:rsidP="0096661D">
            <w:pPr>
              <w:widowControl/>
              <w:spacing w:before="60" w:after="60" w:line="400" w:lineRule="exact"/>
              <w:jc w:val="both"/>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比重</w:t>
            </w:r>
            <w:r w:rsidRPr="005D6D4A">
              <w:rPr>
                <w:rFonts w:ascii="標楷體" w:eastAsia="標楷體" w:hAnsi="標楷體"/>
                <w:color w:val="000000" w:themeColor="text1"/>
                <w:sz w:val="28"/>
                <w:szCs w:val="28"/>
              </w:rPr>
              <w:t>=</w:t>
            </w:r>
            <w:r w:rsidRPr="005D6D4A">
              <w:rPr>
                <w:rFonts w:ascii="標楷體" w:eastAsia="標楷體" w:hAnsi="標楷體" w:hint="eastAsia"/>
                <w:color w:val="000000" w:themeColor="text1"/>
                <w:sz w:val="28"/>
                <w:szCs w:val="28"/>
              </w:rPr>
              <w:t xml:space="preserve">［性別影響評估計畫預算編列數 </w:t>
            </w:r>
            <w:r w:rsidRPr="005D6D4A">
              <w:rPr>
                <w:rFonts w:ascii="標楷體" w:eastAsia="標楷體" w:hAnsi="標楷體"/>
                <w:color w:val="000000" w:themeColor="text1"/>
                <w:sz w:val="28"/>
                <w:szCs w:val="28"/>
              </w:rPr>
              <w:t>/(</w:t>
            </w:r>
            <w:r w:rsidRPr="005D6D4A">
              <w:rPr>
                <w:rFonts w:ascii="標楷體" w:eastAsia="標楷體" w:hAnsi="標楷體" w:hint="eastAsia"/>
                <w:color w:val="000000" w:themeColor="text1"/>
                <w:sz w:val="28"/>
                <w:szCs w:val="28"/>
              </w:rPr>
              <w:t>機關預算數</w:t>
            </w:r>
            <w:r w:rsidRPr="005D6D4A">
              <w:rPr>
                <w:rFonts w:ascii="標楷體" w:eastAsia="標楷體" w:hAnsi="標楷體"/>
                <w:color w:val="000000" w:themeColor="text1"/>
                <w:sz w:val="28"/>
                <w:szCs w:val="28"/>
              </w:rPr>
              <w:t>-</w:t>
            </w:r>
            <w:r w:rsidRPr="005D6D4A">
              <w:rPr>
                <w:rFonts w:ascii="標楷體" w:eastAsia="標楷體" w:hAnsi="標楷體" w:hint="eastAsia"/>
                <w:color w:val="000000" w:themeColor="text1"/>
                <w:sz w:val="28"/>
                <w:szCs w:val="28"/>
              </w:rPr>
              <w:t>人事費支出</w:t>
            </w:r>
            <w:r w:rsidRPr="005D6D4A">
              <w:rPr>
                <w:rFonts w:ascii="標楷體" w:eastAsia="標楷體" w:hAnsi="標楷體"/>
                <w:color w:val="000000" w:themeColor="text1"/>
                <w:sz w:val="28"/>
                <w:szCs w:val="28"/>
              </w:rPr>
              <w:t>-</w:t>
            </w:r>
            <w:r w:rsidRPr="005D6D4A">
              <w:rPr>
                <w:rFonts w:ascii="標楷體" w:eastAsia="標楷體" w:hAnsi="標楷體" w:hint="eastAsia"/>
                <w:color w:val="000000" w:themeColor="text1"/>
                <w:sz w:val="28"/>
                <w:szCs w:val="28"/>
              </w:rPr>
              <w:t>依法律義務必須編列之支出</w:t>
            </w:r>
            <w:r w:rsidRPr="005D6D4A">
              <w:rPr>
                <w:rFonts w:ascii="標楷體" w:eastAsia="標楷體" w:hAnsi="標楷體"/>
                <w:color w:val="000000" w:themeColor="text1"/>
                <w:sz w:val="28"/>
                <w:szCs w:val="28"/>
              </w:rPr>
              <w:t>)</w:t>
            </w:r>
            <w:r w:rsidRPr="005D6D4A">
              <w:rPr>
                <w:rFonts w:ascii="標楷體" w:eastAsia="標楷體" w:hAnsi="標楷體" w:hint="eastAsia"/>
                <w:color w:val="000000" w:themeColor="text1"/>
                <w:sz w:val="28"/>
                <w:szCs w:val="28"/>
              </w:rPr>
              <w:t>］×100%</w:t>
            </w:r>
          </w:p>
          <w:p w:rsidR="0096661D" w:rsidRPr="005D6D4A" w:rsidRDefault="0096661D" w:rsidP="0096661D">
            <w:pPr>
              <w:widowControl/>
              <w:spacing w:line="360" w:lineRule="exact"/>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增加數=當年度比重-前年度比重</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目標值(X)</w:t>
            </w:r>
          </w:p>
        </w:tc>
        <w:tc>
          <w:tcPr>
            <w:tcW w:w="1453" w:type="dxa"/>
            <w:shd w:val="clear" w:color="auto" w:fill="auto"/>
          </w:tcPr>
          <w:p w:rsidR="0096661D" w:rsidRPr="005D6D4A" w:rsidRDefault="0096661D" w:rsidP="0096661D">
            <w:pPr>
              <w:widowControl/>
              <w:spacing w:before="60" w:after="60" w:line="400" w:lineRule="exact"/>
              <w:jc w:val="center"/>
              <w:rPr>
                <w:rFonts w:ascii="標楷體" w:eastAsia="標楷體" w:hAnsi="標楷體"/>
                <w:color w:val="000000" w:themeColor="text1"/>
                <w:spacing w:val="-20"/>
                <w:sz w:val="28"/>
                <w:szCs w:val="28"/>
              </w:rPr>
            </w:pPr>
            <w:r w:rsidRPr="005D6D4A">
              <w:rPr>
                <w:rFonts w:ascii="標楷體" w:eastAsia="標楷體" w:hAnsi="標楷體"/>
                <w:color w:val="000000" w:themeColor="text1"/>
                <w:sz w:val="28"/>
                <w:szCs w:val="28"/>
              </w:rPr>
              <w:t>5</w:t>
            </w:r>
          </w:p>
        </w:tc>
        <w:tc>
          <w:tcPr>
            <w:tcW w:w="1453" w:type="dxa"/>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0.1</w:t>
            </w:r>
          </w:p>
        </w:tc>
        <w:tc>
          <w:tcPr>
            <w:tcW w:w="1453" w:type="dxa"/>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0.1</w:t>
            </w:r>
          </w:p>
        </w:tc>
        <w:tc>
          <w:tcPr>
            <w:tcW w:w="1453" w:type="dxa"/>
          </w:tcPr>
          <w:p w:rsidR="0096661D" w:rsidRPr="005D6D4A" w:rsidRDefault="0096661D" w:rsidP="0096661D">
            <w:pPr>
              <w:widowControl/>
              <w:spacing w:before="60" w:after="60" w:line="400" w:lineRule="exact"/>
              <w:jc w:val="center"/>
              <w:rPr>
                <w:rFonts w:ascii="標楷體" w:eastAsia="標楷體" w:hAnsi="標楷體"/>
                <w:color w:val="000000" w:themeColor="text1"/>
                <w:sz w:val="28"/>
                <w:szCs w:val="28"/>
              </w:rPr>
            </w:pPr>
            <w:r w:rsidRPr="005D6D4A">
              <w:rPr>
                <w:rFonts w:ascii="標楷體" w:eastAsia="標楷體" w:hAnsi="標楷體"/>
                <w:color w:val="000000" w:themeColor="text1"/>
                <w:sz w:val="28"/>
                <w:szCs w:val="28"/>
              </w:rPr>
              <w:t>0.1</w:t>
            </w:r>
          </w:p>
        </w:tc>
      </w:tr>
      <w:tr w:rsidR="005D6D4A" w:rsidRPr="005D6D4A" w:rsidTr="0096661D">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實際值(Y)</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b/>
                <w:color w:val="000000" w:themeColor="text1"/>
                <w:sz w:val="28"/>
                <w:szCs w:val="28"/>
              </w:rPr>
            </w:pPr>
            <w:r w:rsidRPr="005D6D4A">
              <w:rPr>
                <w:rFonts w:ascii="標楷體" w:eastAsia="標楷體" w:hAnsi="標楷體" w:hint="eastAsia"/>
                <w:color w:val="000000" w:themeColor="text1"/>
                <w:sz w:val="28"/>
                <w:szCs w:val="28"/>
              </w:rPr>
              <w:t>-0.82</w:t>
            </w:r>
          </w:p>
        </w:tc>
        <w:tc>
          <w:tcPr>
            <w:tcW w:w="1453" w:type="dxa"/>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1.94</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r w:rsidR="005D6D4A" w:rsidRPr="005D6D4A" w:rsidTr="0096661D">
        <w:trPr>
          <w:trHeight w:val="690"/>
        </w:trPr>
        <w:tc>
          <w:tcPr>
            <w:tcW w:w="1985" w:type="dxa"/>
            <w:shd w:val="clear" w:color="auto" w:fill="auto"/>
            <w:vAlign w:val="center"/>
          </w:tcPr>
          <w:p w:rsidR="0096661D" w:rsidRPr="005D6D4A" w:rsidRDefault="0096661D" w:rsidP="0096661D">
            <w:pPr>
              <w:widowControl/>
              <w:spacing w:line="36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達成度(Y/X)</w:t>
            </w:r>
          </w:p>
        </w:tc>
        <w:tc>
          <w:tcPr>
            <w:tcW w:w="1453" w:type="dxa"/>
            <w:shd w:val="clear" w:color="auto" w:fill="auto"/>
            <w:vAlign w:val="center"/>
          </w:tcPr>
          <w:p w:rsidR="0096661D" w:rsidRPr="005D6D4A" w:rsidRDefault="0096661D"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0</w:t>
            </w:r>
          </w:p>
        </w:tc>
        <w:tc>
          <w:tcPr>
            <w:tcW w:w="1453" w:type="dxa"/>
            <w:vAlign w:val="center"/>
          </w:tcPr>
          <w:p w:rsidR="0096661D" w:rsidRPr="005D6D4A" w:rsidRDefault="00BF111B" w:rsidP="0096661D">
            <w:pPr>
              <w:widowControl/>
              <w:spacing w:line="360" w:lineRule="exact"/>
              <w:jc w:val="center"/>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19.4</w:t>
            </w: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c>
          <w:tcPr>
            <w:tcW w:w="1453" w:type="dxa"/>
            <w:shd w:val="clear" w:color="auto" w:fill="auto"/>
            <w:vAlign w:val="center"/>
          </w:tcPr>
          <w:p w:rsidR="0096661D" w:rsidRPr="005D6D4A" w:rsidRDefault="0096661D" w:rsidP="0096661D">
            <w:pPr>
              <w:widowControl/>
              <w:spacing w:line="360" w:lineRule="exact"/>
              <w:rPr>
                <w:rFonts w:ascii="標楷體" w:eastAsia="標楷體" w:hAnsi="標楷體"/>
                <w:b/>
                <w:color w:val="000000" w:themeColor="text1"/>
                <w:sz w:val="28"/>
                <w:szCs w:val="28"/>
              </w:rPr>
            </w:pPr>
          </w:p>
        </w:tc>
      </w:tr>
    </w:tbl>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2、重要辦理情形：</w:t>
      </w:r>
    </w:p>
    <w:p w:rsidR="008D3D5D" w:rsidRPr="008D3D5D" w:rsidRDefault="008D3D5D" w:rsidP="008D3D5D">
      <w:pPr>
        <w:pStyle w:val="a7"/>
        <w:widowControl/>
        <w:numPr>
          <w:ilvl w:val="0"/>
          <w:numId w:val="48"/>
        </w:numPr>
        <w:spacing w:line="440" w:lineRule="exact"/>
        <w:ind w:leftChars="0" w:left="1276" w:hanging="425"/>
        <w:rPr>
          <w:rFonts w:ascii="Times New Roman" w:eastAsia="標楷體" w:hAnsi="Times New Roman"/>
          <w:color w:val="FF0000"/>
          <w:sz w:val="28"/>
          <w:szCs w:val="28"/>
        </w:rPr>
      </w:pPr>
      <w:r w:rsidRPr="008D3D5D">
        <w:rPr>
          <w:rFonts w:ascii="Times New Roman" w:eastAsia="標楷體" w:hAnsi="Times New Roman"/>
          <w:color w:val="FF0000"/>
          <w:sz w:val="28"/>
          <w:szCs w:val="28"/>
        </w:rPr>
        <w:t>鑒於</w:t>
      </w:r>
      <w:r w:rsidRPr="008D3D5D">
        <w:rPr>
          <w:rFonts w:ascii="Times New Roman" w:eastAsia="標楷體" w:hAnsi="Times New Roman"/>
          <w:color w:val="FF0000"/>
          <w:sz w:val="28"/>
          <w:szCs w:val="28"/>
        </w:rPr>
        <w:t>104</w:t>
      </w:r>
      <w:r w:rsidRPr="008D3D5D">
        <w:rPr>
          <w:rFonts w:ascii="Times New Roman" w:eastAsia="標楷體" w:hAnsi="Times New Roman"/>
          <w:color w:val="FF0000"/>
          <w:sz w:val="28"/>
          <w:szCs w:val="28"/>
        </w:rPr>
        <w:t>年度係籌編</w:t>
      </w:r>
      <w:r w:rsidRPr="008D3D5D">
        <w:rPr>
          <w:rFonts w:ascii="Times New Roman" w:eastAsia="標楷體" w:hAnsi="Times New Roman"/>
          <w:color w:val="FF0000"/>
          <w:sz w:val="28"/>
          <w:szCs w:val="28"/>
        </w:rPr>
        <w:t>105</w:t>
      </w:r>
      <w:r w:rsidRPr="008D3D5D">
        <w:rPr>
          <w:rFonts w:ascii="Times New Roman" w:eastAsia="標楷體" w:hAnsi="Times New Roman"/>
          <w:color w:val="FF0000"/>
          <w:sz w:val="28"/>
          <w:szCs w:val="28"/>
        </w:rPr>
        <w:t>年度預算，爰本項指標係依</w:t>
      </w:r>
      <w:r w:rsidRPr="008D3D5D">
        <w:rPr>
          <w:rFonts w:ascii="Times New Roman" w:eastAsia="標楷體" w:hAnsi="Times New Roman"/>
          <w:color w:val="FF0000"/>
          <w:sz w:val="28"/>
          <w:szCs w:val="28"/>
        </w:rPr>
        <w:t>105</w:t>
      </w:r>
      <w:r w:rsidRPr="008D3D5D">
        <w:rPr>
          <w:rFonts w:ascii="Times New Roman" w:eastAsia="標楷體" w:hAnsi="Times New Roman"/>
          <w:color w:val="FF0000"/>
          <w:sz w:val="28"/>
          <w:szCs w:val="28"/>
        </w:rPr>
        <w:t>年度預算資料，並以同基礎項目予以填報，有關</w:t>
      </w:r>
      <w:r w:rsidRPr="008D3D5D">
        <w:rPr>
          <w:rFonts w:ascii="Times New Roman" w:eastAsia="標楷體" w:hAnsi="Times New Roman"/>
          <w:color w:val="FF0000"/>
          <w:sz w:val="28"/>
          <w:szCs w:val="28"/>
        </w:rPr>
        <w:t>105</w:t>
      </w:r>
      <w:r w:rsidRPr="008D3D5D">
        <w:rPr>
          <w:rFonts w:ascii="Times New Roman" w:eastAsia="標楷體" w:hAnsi="Times New Roman"/>
          <w:color w:val="FF0000"/>
          <w:sz w:val="28"/>
          <w:szCs w:val="28"/>
        </w:rPr>
        <w:t>及</w:t>
      </w:r>
      <w:r w:rsidRPr="008D3D5D">
        <w:rPr>
          <w:rFonts w:ascii="Times New Roman" w:eastAsia="標楷體" w:hAnsi="Times New Roman"/>
          <w:color w:val="FF0000"/>
          <w:sz w:val="28"/>
          <w:szCs w:val="28"/>
        </w:rPr>
        <w:t>104</w:t>
      </w:r>
      <w:r w:rsidRPr="008D3D5D">
        <w:rPr>
          <w:rFonts w:ascii="Times New Roman" w:eastAsia="標楷體" w:hAnsi="Times New Roman"/>
          <w:color w:val="FF0000"/>
          <w:sz w:val="28"/>
          <w:szCs w:val="28"/>
        </w:rPr>
        <w:t>年度性別影響評估計畫預算比重分別為：</w:t>
      </w:r>
    </w:p>
    <w:p w:rsidR="008D3D5D" w:rsidRPr="008D3D5D" w:rsidRDefault="008D3D5D" w:rsidP="008D3D5D">
      <w:pPr>
        <w:widowControl/>
        <w:spacing w:line="400" w:lineRule="exact"/>
        <w:ind w:leftChars="531" w:left="1274"/>
        <w:rPr>
          <w:rFonts w:ascii="Times New Roman" w:eastAsia="標楷體" w:hAnsi="Times New Roman"/>
          <w:color w:val="FF0000"/>
          <w:sz w:val="28"/>
          <w:szCs w:val="28"/>
        </w:rPr>
      </w:pPr>
      <w:r w:rsidRPr="008D3D5D">
        <w:rPr>
          <w:rFonts w:ascii="Times New Roman" w:eastAsia="標楷體" w:hAnsi="Times New Roman"/>
          <w:color w:val="FF0000"/>
          <w:sz w:val="28"/>
          <w:szCs w:val="28"/>
        </w:rPr>
        <w:t>105</w:t>
      </w:r>
      <w:r w:rsidRPr="008D3D5D">
        <w:rPr>
          <w:rFonts w:ascii="Times New Roman" w:eastAsia="標楷體" w:hAnsi="Times New Roman"/>
          <w:color w:val="FF0000"/>
          <w:sz w:val="28"/>
          <w:szCs w:val="28"/>
        </w:rPr>
        <w:t>年度：</w:t>
      </w:r>
    </w:p>
    <w:p w:rsidR="008D3D5D" w:rsidRPr="008D3D5D" w:rsidRDefault="008D3D5D" w:rsidP="008D3D5D">
      <w:pPr>
        <w:widowControl/>
        <w:spacing w:line="400" w:lineRule="exact"/>
        <w:ind w:leftChars="531" w:left="1408" w:hangingChars="48" w:hanging="134"/>
        <w:rPr>
          <w:rFonts w:ascii="Times New Roman" w:eastAsia="標楷體" w:hAnsi="Times New Roman"/>
          <w:color w:val="FF0000"/>
          <w:sz w:val="28"/>
          <w:szCs w:val="28"/>
        </w:rPr>
      </w:pPr>
      <w:r w:rsidRPr="008D3D5D">
        <w:rPr>
          <w:rFonts w:ascii="Times New Roman" w:eastAsia="標楷體" w:hAnsi="Times New Roman"/>
          <w:color w:val="FF0000"/>
          <w:sz w:val="28"/>
          <w:szCs w:val="28"/>
        </w:rPr>
        <w:t>﹝</w:t>
      </w:r>
      <w:r w:rsidRPr="008D3D5D">
        <w:rPr>
          <w:rFonts w:ascii="Times New Roman" w:eastAsia="標楷體" w:hAnsi="Times New Roman"/>
          <w:color w:val="FF0000"/>
          <w:sz w:val="28"/>
          <w:szCs w:val="28"/>
        </w:rPr>
        <w:t>6,403,192,000/(16,636,145,000-1,535,804,000-900,000,000)</w:t>
      </w:r>
      <w:r w:rsidRPr="008D3D5D">
        <w:rPr>
          <w:rFonts w:ascii="Times New Roman" w:eastAsia="標楷體" w:hAnsi="Times New Roman"/>
          <w:color w:val="FF0000"/>
          <w:sz w:val="28"/>
          <w:szCs w:val="28"/>
        </w:rPr>
        <w:t>］</w:t>
      </w:r>
      <w:r w:rsidRPr="008D3D5D">
        <w:rPr>
          <w:rFonts w:ascii="Times New Roman" w:eastAsia="標楷體" w:hAnsi="Times New Roman"/>
          <w:color w:val="FF0000"/>
          <w:sz w:val="28"/>
          <w:szCs w:val="28"/>
        </w:rPr>
        <w:t>×100%=45.09%</w:t>
      </w:r>
      <w:r w:rsidRPr="008D3D5D">
        <w:rPr>
          <w:rFonts w:ascii="Times New Roman" w:eastAsia="標楷體" w:hAnsi="Times New Roman"/>
          <w:color w:val="FF0000"/>
          <w:sz w:val="28"/>
          <w:szCs w:val="28"/>
        </w:rPr>
        <w:t>。</w:t>
      </w:r>
      <w:r w:rsidRPr="008D3D5D">
        <w:rPr>
          <w:rFonts w:ascii="Times New Roman" w:eastAsia="標楷體" w:hAnsi="Times New Roman"/>
          <w:color w:val="FF0000"/>
          <w:sz w:val="28"/>
          <w:szCs w:val="28"/>
        </w:rPr>
        <w:t xml:space="preserve"> </w:t>
      </w:r>
    </w:p>
    <w:p w:rsidR="008D3D5D" w:rsidRPr="008D3D5D" w:rsidRDefault="008D3D5D" w:rsidP="008D3D5D">
      <w:pPr>
        <w:widowControl/>
        <w:spacing w:line="400" w:lineRule="exact"/>
        <w:ind w:leftChars="530" w:left="1272" w:firstLine="2"/>
        <w:rPr>
          <w:rFonts w:ascii="Times New Roman" w:eastAsia="標楷體" w:hAnsi="Times New Roman"/>
          <w:color w:val="FF0000"/>
          <w:sz w:val="28"/>
          <w:szCs w:val="28"/>
        </w:rPr>
      </w:pPr>
      <w:r w:rsidRPr="008D3D5D">
        <w:rPr>
          <w:rFonts w:ascii="Times New Roman" w:eastAsia="標楷體" w:hAnsi="Times New Roman"/>
          <w:color w:val="FF0000"/>
          <w:sz w:val="28"/>
          <w:szCs w:val="28"/>
        </w:rPr>
        <w:t>104</w:t>
      </w:r>
      <w:r w:rsidRPr="008D3D5D">
        <w:rPr>
          <w:rFonts w:ascii="Times New Roman" w:eastAsia="標楷體" w:hAnsi="Times New Roman"/>
          <w:color w:val="FF0000"/>
          <w:sz w:val="28"/>
          <w:szCs w:val="28"/>
        </w:rPr>
        <w:t>年度：</w:t>
      </w:r>
    </w:p>
    <w:p w:rsidR="008D3D5D" w:rsidRPr="008D3D5D" w:rsidRDefault="008D3D5D" w:rsidP="008D3D5D">
      <w:pPr>
        <w:widowControl/>
        <w:spacing w:line="400" w:lineRule="exact"/>
        <w:ind w:leftChars="531" w:left="1274" w:firstLine="2"/>
        <w:rPr>
          <w:rFonts w:ascii="Times New Roman" w:eastAsia="標楷體" w:hAnsi="Times New Roman"/>
          <w:color w:val="FF0000"/>
          <w:sz w:val="28"/>
          <w:szCs w:val="28"/>
        </w:rPr>
      </w:pPr>
      <w:r w:rsidRPr="008D3D5D">
        <w:rPr>
          <w:rFonts w:ascii="Times New Roman" w:eastAsia="標楷體" w:hAnsi="Times New Roman"/>
          <w:color w:val="FF0000"/>
          <w:sz w:val="28"/>
          <w:szCs w:val="28"/>
        </w:rPr>
        <w:t>﹝</w:t>
      </w:r>
      <w:r w:rsidRPr="008D3D5D">
        <w:rPr>
          <w:rFonts w:ascii="Times New Roman" w:eastAsia="標楷體" w:hAnsi="Times New Roman"/>
          <w:color w:val="FF0000"/>
          <w:sz w:val="28"/>
          <w:szCs w:val="28"/>
        </w:rPr>
        <w:t>6,176,029,000/(16,741,383,000-1,529,494,000-900,000,000)</w:t>
      </w:r>
      <w:r w:rsidRPr="008D3D5D">
        <w:rPr>
          <w:rFonts w:ascii="Times New Roman" w:eastAsia="標楷體" w:hAnsi="Times New Roman"/>
          <w:color w:val="FF0000"/>
          <w:sz w:val="28"/>
          <w:szCs w:val="28"/>
        </w:rPr>
        <w:t>］</w:t>
      </w:r>
      <w:r w:rsidRPr="008D3D5D">
        <w:rPr>
          <w:rFonts w:ascii="Times New Roman" w:eastAsia="標楷體" w:hAnsi="Times New Roman"/>
          <w:color w:val="FF0000"/>
          <w:sz w:val="28"/>
          <w:szCs w:val="28"/>
        </w:rPr>
        <w:t>×100%=43.15%</w:t>
      </w:r>
    </w:p>
    <w:p w:rsidR="008D3D5D" w:rsidRPr="008D3D5D" w:rsidRDefault="008D3D5D" w:rsidP="008D3D5D">
      <w:pPr>
        <w:widowControl/>
        <w:spacing w:line="400" w:lineRule="exact"/>
        <w:ind w:firstLineChars="450" w:firstLine="1260"/>
        <w:rPr>
          <w:rFonts w:ascii="Times New Roman" w:eastAsia="標楷體" w:hAnsi="Times New Roman"/>
          <w:color w:val="FF0000"/>
          <w:sz w:val="28"/>
          <w:szCs w:val="28"/>
        </w:rPr>
      </w:pPr>
      <w:r w:rsidRPr="008D3D5D">
        <w:rPr>
          <w:rFonts w:ascii="Times New Roman" w:eastAsia="標楷體" w:hAnsi="Times New Roman"/>
          <w:color w:val="FF0000"/>
          <w:sz w:val="28"/>
          <w:szCs w:val="28"/>
        </w:rPr>
        <w:t>增加數：</w:t>
      </w:r>
      <w:r w:rsidRPr="008D3D5D">
        <w:rPr>
          <w:rFonts w:ascii="Times New Roman" w:eastAsia="標楷體" w:hAnsi="Times New Roman"/>
          <w:color w:val="FF0000"/>
          <w:sz w:val="28"/>
          <w:szCs w:val="28"/>
        </w:rPr>
        <w:t>45.09%-43.15%=1.94%</w:t>
      </w:r>
    </w:p>
    <w:p w:rsidR="008D3D5D" w:rsidRPr="008D3D5D" w:rsidRDefault="008D3D5D" w:rsidP="008D3D5D">
      <w:pPr>
        <w:widowControl/>
        <w:spacing w:line="400" w:lineRule="exact"/>
        <w:ind w:leftChars="472" w:left="1133" w:firstLineChars="45" w:firstLine="126"/>
        <w:rPr>
          <w:rFonts w:ascii="Times New Roman" w:eastAsia="標楷體" w:hAnsi="Times New Roman"/>
          <w:color w:val="FF0000"/>
          <w:sz w:val="28"/>
          <w:szCs w:val="28"/>
        </w:rPr>
      </w:pPr>
      <w:r w:rsidRPr="008D3D5D">
        <w:rPr>
          <w:rFonts w:ascii="Times New Roman" w:eastAsia="標楷體" w:hAnsi="Times New Roman"/>
          <w:color w:val="FF0000"/>
          <w:sz w:val="28"/>
          <w:szCs w:val="28"/>
        </w:rPr>
        <w:t>達成度為</w:t>
      </w:r>
      <w:r w:rsidRPr="008D3D5D">
        <w:rPr>
          <w:rFonts w:ascii="Times New Roman" w:eastAsia="標楷體" w:hAnsi="Times New Roman"/>
          <w:color w:val="FF0000"/>
          <w:sz w:val="28"/>
          <w:szCs w:val="28"/>
        </w:rPr>
        <w:t>1.94/0.1×100%=1,940%</w:t>
      </w:r>
    </w:p>
    <w:p w:rsidR="008D3D5D" w:rsidRPr="008D3D5D" w:rsidRDefault="008D3D5D" w:rsidP="008D3D5D">
      <w:pPr>
        <w:widowControl/>
        <w:spacing w:line="400" w:lineRule="exact"/>
        <w:ind w:leftChars="472" w:left="1133" w:firstLineChars="45" w:firstLine="126"/>
        <w:rPr>
          <w:rFonts w:ascii="Times New Roman" w:eastAsia="標楷體" w:hAnsi="Times New Roman"/>
          <w:color w:val="FF0000"/>
          <w:sz w:val="28"/>
          <w:szCs w:val="28"/>
        </w:rPr>
      </w:pPr>
    </w:p>
    <w:p w:rsidR="008D3D5D" w:rsidRPr="008D3D5D" w:rsidRDefault="008D3D5D" w:rsidP="008D3D5D">
      <w:pPr>
        <w:widowControl/>
        <w:spacing w:line="400" w:lineRule="exact"/>
        <w:ind w:leftChars="472" w:left="1133" w:firstLineChars="45" w:firstLine="126"/>
        <w:rPr>
          <w:rFonts w:ascii="Times New Roman" w:eastAsia="標楷體" w:hAnsi="Times New Roman"/>
          <w:color w:val="FF0000"/>
          <w:sz w:val="28"/>
          <w:szCs w:val="28"/>
        </w:rPr>
      </w:pPr>
    </w:p>
    <w:p w:rsidR="008D3D5D" w:rsidRPr="008D3D5D" w:rsidRDefault="008D3D5D" w:rsidP="008D3D5D">
      <w:pPr>
        <w:widowControl/>
        <w:spacing w:line="400" w:lineRule="exact"/>
        <w:ind w:leftChars="472" w:left="1133" w:firstLineChars="45" w:firstLine="126"/>
        <w:rPr>
          <w:rFonts w:ascii="Times New Roman" w:eastAsia="標楷體" w:hAnsi="Times New Roman"/>
          <w:color w:val="FF0000"/>
          <w:sz w:val="28"/>
          <w:szCs w:val="28"/>
        </w:rPr>
      </w:pPr>
    </w:p>
    <w:p w:rsidR="008D3D5D" w:rsidRPr="008D3D5D" w:rsidRDefault="008D3D5D" w:rsidP="008D3D5D">
      <w:pPr>
        <w:widowControl/>
        <w:spacing w:line="400" w:lineRule="exact"/>
        <w:ind w:leftChars="472" w:left="1133" w:firstLineChars="45" w:firstLine="126"/>
        <w:rPr>
          <w:rFonts w:ascii="Times New Roman" w:eastAsia="標楷體" w:hAnsi="Times New Roman"/>
          <w:color w:val="FF0000"/>
          <w:sz w:val="28"/>
          <w:szCs w:val="28"/>
        </w:rPr>
      </w:pPr>
    </w:p>
    <w:p w:rsidR="008D3D5D" w:rsidRPr="008D3D5D" w:rsidRDefault="008D3D5D" w:rsidP="008D3D5D">
      <w:pPr>
        <w:widowControl/>
        <w:numPr>
          <w:ilvl w:val="0"/>
          <w:numId w:val="48"/>
        </w:numPr>
        <w:tabs>
          <w:tab w:val="left" w:pos="1276"/>
        </w:tabs>
        <w:spacing w:line="400" w:lineRule="exact"/>
        <w:ind w:left="1276" w:hanging="425"/>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lastRenderedPageBreak/>
        <w:t>105</w:t>
      </w:r>
      <w:r w:rsidRPr="008D3D5D">
        <w:rPr>
          <w:rFonts w:ascii="Times New Roman" w:eastAsia="標楷體" w:hAnsi="Times New Roman"/>
          <w:color w:val="FF0000"/>
          <w:sz w:val="28"/>
          <w:szCs w:val="28"/>
        </w:rPr>
        <w:t>年度性別影響評估計畫預算較</w:t>
      </w:r>
      <w:r w:rsidRPr="008D3D5D">
        <w:rPr>
          <w:rFonts w:ascii="Times New Roman" w:eastAsia="標楷體" w:hAnsi="Times New Roman"/>
          <w:color w:val="FF0000"/>
          <w:sz w:val="28"/>
          <w:szCs w:val="28"/>
        </w:rPr>
        <w:t>104</w:t>
      </w:r>
      <w:r w:rsidRPr="008D3D5D">
        <w:rPr>
          <w:rFonts w:ascii="Times New Roman" w:eastAsia="標楷體" w:hAnsi="Times New Roman"/>
          <w:color w:val="FF0000"/>
          <w:sz w:val="28"/>
          <w:szCs w:val="28"/>
        </w:rPr>
        <w:t>年度增加</w:t>
      </w:r>
      <w:r w:rsidRPr="008D3D5D">
        <w:rPr>
          <w:rFonts w:ascii="Times New Roman" w:eastAsia="標楷體" w:hAnsi="Times New Roman"/>
          <w:color w:val="FF0000"/>
          <w:sz w:val="28"/>
          <w:szCs w:val="28"/>
        </w:rPr>
        <w:t>2</w:t>
      </w:r>
      <w:r w:rsidRPr="008D3D5D">
        <w:rPr>
          <w:rFonts w:ascii="Times New Roman" w:eastAsia="標楷體" w:hAnsi="Times New Roman"/>
          <w:color w:val="FF0000"/>
          <w:sz w:val="28"/>
          <w:szCs w:val="28"/>
        </w:rPr>
        <w:t>億</w:t>
      </w:r>
      <w:r w:rsidRPr="008D3D5D">
        <w:rPr>
          <w:rFonts w:ascii="Times New Roman" w:eastAsia="標楷體" w:hAnsi="Times New Roman"/>
          <w:color w:val="FF0000"/>
          <w:sz w:val="28"/>
          <w:szCs w:val="28"/>
        </w:rPr>
        <w:t>2,716</w:t>
      </w:r>
      <w:r w:rsidRPr="008D3D5D">
        <w:rPr>
          <w:rFonts w:ascii="Times New Roman" w:eastAsia="標楷體" w:hAnsi="Times New Roman"/>
          <w:color w:val="FF0000"/>
          <w:sz w:val="28"/>
          <w:szCs w:val="28"/>
        </w:rPr>
        <w:t>萬</w:t>
      </w:r>
      <w:r w:rsidRPr="008D3D5D">
        <w:rPr>
          <w:rFonts w:ascii="Times New Roman" w:eastAsia="標楷體" w:hAnsi="Times New Roman"/>
          <w:color w:val="FF0000"/>
          <w:sz w:val="28"/>
          <w:szCs w:val="28"/>
        </w:rPr>
        <w:t>3</w:t>
      </w:r>
      <w:r w:rsidRPr="008D3D5D">
        <w:rPr>
          <w:rFonts w:ascii="Times New Roman" w:eastAsia="標楷體" w:hAnsi="Times New Roman"/>
          <w:color w:val="FF0000"/>
          <w:sz w:val="28"/>
          <w:szCs w:val="28"/>
        </w:rPr>
        <w:t>千元，主要係：</w:t>
      </w:r>
    </w:p>
    <w:p w:rsidR="008D3D5D" w:rsidRPr="008D3D5D" w:rsidRDefault="008D3D5D" w:rsidP="008D3D5D">
      <w:pPr>
        <w:widowControl/>
        <w:numPr>
          <w:ilvl w:val="0"/>
          <w:numId w:val="47"/>
        </w:numPr>
        <w:tabs>
          <w:tab w:val="left" w:pos="1134"/>
        </w:tabs>
        <w:spacing w:line="400" w:lineRule="exact"/>
        <w:ind w:left="1446" w:hanging="312"/>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t>「跨藝匯流</w:t>
      </w:r>
      <w:r w:rsidRPr="008D3D5D">
        <w:rPr>
          <w:rFonts w:ascii="新細明體" w:hAnsi="新細明體" w:cs="新細明體" w:hint="eastAsia"/>
          <w:color w:val="FF0000"/>
          <w:sz w:val="28"/>
          <w:szCs w:val="28"/>
        </w:rPr>
        <w:t>‧</w:t>
      </w:r>
      <w:r w:rsidRPr="008D3D5D">
        <w:rPr>
          <w:rFonts w:ascii="Times New Roman" w:eastAsia="標楷體" w:hAnsi="Times New Roman"/>
          <w:color w:val="FF0000"/>
          <w:sz w:val="28"/>
          <w:szCs w:val="28"/>
        </w:rPr>
        <w:t>傳統入心」跨域加值發展計畫增列</w:t>
      </w:r>
      <w:r w:rsidRPr="008D3D5D">
        <w:rPr>
          <w:rFonts w:ascii="Times New Roman" w:eastAsia="標楷體" w:hAnsi="Times New Roman"/>
          <w:color w:val="FF0000"/>
          <w:sz w:val="28"/>
          <w:szCs w:val="28"/>
        </w:rPr>
        <w:t>7</w:t>
      </w:r>
      <w:r w:rsidRPr="008D3D5D">
        <w:rPr>
          <w:rFonts w:ascii="Times New Roman" w:eastAsia="標楷體" w:hAnsi="Times New Roman"/>
          <w:color w:val="FF0000"/>
          <w:sz w:val="28"/>
          <w:szCs w:val="28"/>
        </w:rPr>
        <w:t>億</w:t>
      </w:r>
      <w:r w:rsidRPr="008D3D5D">
        <w:rPr>
          <w:rFonts w:ascii="Times New Roman" w:eastAsia="標楷體" w:hAnsi="Times New Roman"/>
          <w:color w:val="FF0000"/>
          <w:sz w:val="28"/>
          <w:szCs w:val="28"/>
        </w:rPr>
        <w:t>284</w:t>
      </w:r>
      <w:r w:rsidRPr="008D3D5D">
        <w:rPr>
          <w:rFonts w:ascii="Times New Roman" w:eastAsia="標楷體" w:hAnsi="Times New Roman"/>
          <w:color w:val="FF0000"/>
          <w:sz w:val="28"/>
          <w:szCs w:val="28"/>
        </w:rPr>
        <w:t>萬</w:t>
      </w:r>
      <w:r w:rsidRPr="008D3D5D">
        <w:rPr>
          <w:rFonts w:ascii="Times New Roman" w:eastAsia="標楷體" w:hAnsi="Times New Roman"/>
          <w:color w:val="FF0000"/>
          <w:sz w:val="28"/>
          <w:szCs w:val="28"/>
        </w:rPr>
        <w:t>9</w:t>
      </w:r>
      <w:r w:rsidRPr="008D3D5D">
        <w:rPr>
          <w:rFonts w:ascii="Times New Roman" w:eastAsia="標楷體" w:hAnsi="Times New Roman"/>
          <w:color w:val="FF0000"/>
          <w:sz w:val="28"/>
          <w:szCs w:val="28"/>
        </w:rPr>
        <w:t>千元。</w:t>
      </w:r>
    </w:p>
    <w:p w:rsidR="008D3D5D" w:rsidRPr="008D3D5D" w:rsidRDefault="008D3D5D" w:rsidP="008D3D5D">
      <w:pPr>
        <w:numPr>
          <w:ilvl w:val="0"/>
          <w:numId w:val="47"/>
        </w:numPr>
        <w:tabs>
          <w:tab w:val="left" w:pos="1418"/>
        </w:tabs>
        <w:spacing w:line="400" w:lineRule="exact"/>
        <w:ind w:left="1418" w:hanging="284"/>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t>國立臺灣史前文化博物館南科館整體計畫增列</w:t>
      </w:r>
      <w:r w:rsidRPr="008D3D5D">
        <w:rPr>
          <w:rFonts w:ascii="Times New Roman" w:eastAsia="標楷體" w:hAnsi="Times New Roman"/>
          <w:color w:val="FF0000"/>
          <w:sz w:val="28"/>
          <w:szCs w:val="28"/>
        </w:rPr>
        <w:t>2</w:t>
      </w:r>
      <w:r w:rsidRPr="008D3D5D">
        <w:rPr>
          <w:rFonts w:ascii="Times New Roman" w:eastAsia="標楷體" w:hAnsi="Times New Roman"/>
          <w:color w:val="FF0000"/>
          <w:sz w:val="28"/>
          <w:szCs w:val="28"/>
        </w:rPr>
        <w:t>億</w:t>
      </w:r>
      <w:r w:rsidRPr="008D3D5D">
        <w:rPr>
          <w:rFonts w:ascii="Times New Roman" w:eastAsia="標楷體" w:hAnsi="Times New Roman"/>
          <w:color w:val="FF0000"/>
          <w:sz w:val="28"/>
          <w:szCs w:val="28"/>
        </w:rPr>
        <w:t>2,441</w:t>
      </w:r>
      <w:r w:rsidRPr="008D3D5D">
        <w:rPr>
          <w:rFonts w:ascii="Times New Roman" w:eastAsia="標楷體" w:hAnsi="Times New Roman"/>
          <w:color w:val="FF0000"/>
          <w:sz w:val="28"/>
          <w:szCs w:val="28"/>
        </w:rPr>
        <w:t>萬元。</w:t>
      </w:r>
    </w:p>
    <w:p w:rsidR="008D3D5D" w:rsidRPr="008D3D5D" w:rsidRDefault="008D3D5D" w:rsidP="008D3D5D">
      <w:pPr>
        <w:numPr>
          <w:ilvl w:val="0"/>
          <w:numId w:val="47"/>
        </w:numPr>
        <w:tabs>
          <w:tab w:val="left" w:pos="1276"/>
        </w:tabs>
        <w:spacing w:line="400" w:lineRule="exact"/>
        <w:ind w:left="1134" w:firstLine="0"/>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t>影視音產業發展中程計畫增列</w:t>
      </w:r>
      <w:r w:rsidRPr="008D3D5D">
        <w:rPr>
          <w:rFonts w:ascii="Times New Roman" w:eastAsia="標楷體" w:hAnsi="Times New Roman"/>
          <w:color w:val="FF0000"/>
          <w:sz w:val="28"/>
          <w:szCs w:val="28"/>
        </w:rPr>
        <w:t>1</w:t>
      </w:r>
      <w:r w:rsidRPr="008D3D5D">
        <w:rPr>
          <w:rFonts w:ascii="Times New Roman" w:eastAsia="標楷體" w:hAnsi="Times New Roman"/>
          <w:color w:val="FF0000"/>
          <w:sz w:val="28"/>
          <w:szCs w:val="28"/>
        </w:rPr>
        <w:t>億</w:t>
      </w:r>
      <w:r w:rsidRPr="008D3D5D">
        <w:rPr>
          <w:rFonts w:ascii="Times New Roman" w:eastAsia="標楷體" w:hAnsi="Times New Roman"/>
          <w:color w:val="FF0000"/>
          <w:sz w:val="28"/>
          <w:szCs w:val="28"/>
        </w:rPr>
        <w:t>6,116</w:t>
      </w:r>
      <w:r w:rsidRPr="008D3D5D">
        <w:rPr>
          <w:rFonts w:ascii="Times New Roman" w:eastAsia="標楷體" w:hAnsi="Times New Roman"/>
          <w:color w:val="FF0000"/>
          <w:sz w:val="28"/>
          <w:szCs w:val="28"/>
        </w:rPr>
        <w:t>萬</w:t>
      </w:r>
      <w:r w:rsidRPr="008D3D5D">
        <w:rPr>
          <w:rFonts w:ascii="Times New Roman" w:eastAsia="標楷體" w:hAnsi="Times New Roman"/>
          <w:color w:val="FF0000"/>
          <w:sz w:val="28"/>
          <w:szCs w:val="28"/>
        </w:rPr>
        <w:t>6</w:t>
      </w:r>
      <w:r w:rsidRPr="008D3D5D">
        <w:rPr>
          <w:rFonts w:ascii="Times New Roman" w:eastAsia="標楷體" w:hAnsi="Times New Roman"/>
          <w:color w:val="FF0000"/>
          <w:sz w:val="28"/>
          <w:szCs w:val="28"/>
        </w:rPr>
        <w:t>千元。</w:t>
      </w:r>
    </w:p>
    <w:p w:rsidR="008D3D5D" w:rsidRPr="008D3D5D" w:rsidRDefault="008D3D5D" w:rsidP="008D3D5D">
      <w:pPr>
        <w:numPr>
          <w:ilvl w:val="0"/>
          <w:numId w:val="47"/>
        </w:numPr>
        <w:tabs>
          <w:tab w:val="left" w:pos="1418"/>
        </w:tabs>
        <w:spacing w:line="400" w:lineRule="exact"/>
        <w:ind w:left="1418" w:hanging="284"/>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t>國家攝影資產搶救及建置攝影文化中心計畫增列</w:t>
      </w:r>
      <w:r w:rsidRPr="008D3D5D">
        <w:rPr>
          <w:rFonts w:ascii="Times New Roman" w:eastAsia="標楷體" w:hAnsi="Times New Roman"/>
          <w:color w:val="FF0000"/>
          <w:sz w:val="28"/>
          <w:szCs w:val="28"/>
        </w:rPr>
        <w:t>9,129</w:t>
      </w:r>
      <w:r w:rsidRPr="008D3D5D">
        <w:rPr>
          <w:rFonts w:ascii="Times New Roman" w:eastAsia="標楷體" w:hAnsi="Times New Roman"/>
          <w:color w:val="FF0000"/>
          <w:sz w:val="28"/>
          <w:szCs w:val="28"/>
        </w:rPr>
        <w:t>萬</w:t>
      </w:r>
      <w:r w:rsidRPr="008D3D5D">
        <w:rPr>
          <w:rFonts w:ascii="Times New Roman" w:eastAsia="標楷體" w:hAnsi="Times New Roman"/>
          <w:color w:val="FF0000"/>
          <w:sz w:val="28"/>
          <w:szCs w:val="28"/>
        </w:rPr>
        <w:t>5</w:t>
      </w:r>
      <w:r w:rsidRPr="008D3D5D">
        <w:rPr>
          <w:rFonts w:ascii="Times New Roman" w:eastAsia="標楷體" w:hAnsi="Times New Roman"/>
          <w:color w:val="FF0000"/>
          <w:sz w:val="28"/>
          <w:szCs w:val="28"/>
        </w:rPr>
        <w:t>千元。</w:t>
      </w:r>
    </w:p>
    <w:p w:rsidR="008D3D5D" w:rsidRPr="008D3D5D" w:rsidRDefault="008D3D5D" w:rsidP="008D3D5D">
      <w:pPr>
        <w:numPr>
          <w:ilvl w:val="0"/>
          <w:numId w:val="47"/>
        </w:numPr>
        <w:tabs>
          <w:tab w:val="left" w:pos="1276"/>
        </w:tabs>
        <w:spacing w:line="400" w:lineRule="exact"/>
        <w:ind w:left="1134" w:firstLine="0"/>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t>北部流行音樂中心計畫減列</w:t>
      </w:r>
      <w:r w:rsidRPr="008D3D5D">
        <w:rPr>
          <w:rFonts w:ascii="Times New Roman" w:eastAsia="標楷體" w:hAnsi="Times New Roman"/>
          <w:color w:val="FF0000"/>
          <w:sz w:val="28"/>
          <w:szCs w:val="28"/>
        </w:rPr>
        <w:t>5</w:t>
      </w:r>
      <w:r w:rsidRPr="008D3D5D">
        <w:rPr>
          <w:rFonts w:ascii="Times New Roman" w:eastAsia="標楷體" w:hAnsi="Times New Roman"/>
          <w:color w:val="FF0000"/>
          <w:sz w:val="28"/>
          <w:szCs w:val="28"/>
        </w:rPr>
        <w:t>億</w:t>
      </w:r>
      <w:r w:rsidRPr="008D3D5D">
        <w:rPr>
          <w:rFonts w:ascii="Times New Roman" w:eastAsia="標楷體" w:hAnsi="Times New Roman"/>
          <w:color w:val="FF0000"/>
          <w:sz w:val="28"/>
          <w:szCs w:val="28"/>
        </w:rPr>
        <w:t>244</w:t>
      </w:r>
      <w:r w:rsidRPr="008D3D5D">
        <w:rPr>
          <w:rFonts w:ascii="Times New Roman" w:eastAsia="標楷體" w:hAnsi="Times New Roman"/>
          <w:color w:val="FF0000"/>
          <w:sz w:val="28"/>
          <w:szCs w:val="28"/>
        </w:rPr>
        <w:t>萬元。</w:t>
      </w:r>
    </w:p>
    <w:p w:rsidR="008D3D5D" w:rsidRPr="008D3D5D" w:rsidRDefault="008D3D5D" w:rsidP="008D3D5D">
      <w:pPr>
        <w:widowControl/>
        <w:numPr>
          <w:ilvl w:val="0"/>
          <w:numId w:val="47"/>
        </w:numPr>
        <w:tabs>
          <w:tab w:val="left" w:pos="1418"/>
        </w:tabs>
        <w:spacing w:line="400" w:lineRule="exact"/>
        <w:ind w:left="1418" w:hanging="284"/>
        <w:jc w:val="both"/>
        <w:rPr>
          <w:rFonts w:ascii="Times New Roman" w:eastAsia="標楷體" w:hAnsi="Times New Roman"/>
          <w:color w:val="FF0000"/>
          <w:sz w:val="28"/>
          <w:szCs w:val="28"/>
        </w:rPr>
      </w:pPr>
      <w:r w:rsidRPr="008D3D5D">
        <w:rPr>
          <w:rFonts w:ascii="Times New Roman" w:eastAsia="標楷體" w:hAnsi="Times New Roman"/>
          <w:color w:val="FF0000"/>
          <w:sz w:val="28"/>
          <w:szCs w:val="28"/>
        </w:rPr>
        <w:t>衛武營藝術文化中心籌建計畫減列</w:t>
      </w:r>
      <w:r w:rsidRPr="008D3D5D">
        <w:rPr>
          <w:rFonts w:ascii="Times New Roman" w:eastAsia="標楷體" w:hAnsi="Times New Roman"/>
          <w:color w:val="FF0000"/>
          <w:sz w:val="28"/>
          <w:szCs w:val="28"/>
        </w:rPr>
        <w:t>4</w:t>
      </w:r>
      <w:r w:rsidRPr="008D3D5D">
        <w:rPr>
          <w:rFonts w:ascii="Times New Roman" w:eastAsia="標楷體" w:hAnsi="Times New Roman"/>
          <w:color w:val="FF0000"/>
          <w:sz w:val="28"/>
          <w:szCs w:val="28"/>
        </w:rPr>
        <w:t>億</w:t>
      </w:r>
      <w:r w:rsidRPr="008D3D5D">
        <w:rPr>
          <w:rFonts w:ascii="Times New Roman" w:eastAsia="標楷體" w:hAnsi="Times New Roman"/>
          <w:color w:val="FF0000"/>
          <w:sz w:val="28"/>
          <w:szCs w:val="28"/>
        </w:rPr>
        <w:t>7,095</w:t>
      </w:r>
      <w:r w:rsidRPr="008D3D5D">
        <w:rPr>
          <w:rFonts w:ascii="Times New Roman" w:eastAsia="標楷體" w:hAnsi="Times New Roman"/>
          <w:color w:val="FF0000"/>
          <w:sz w:val="28"/>
          <w:szCs w:val="28"/>
        </w:rPr>
        <w:t>萬</w:t>
      </w:r>
      <w:r w:rsidRPr="008D3D5D">
        <w:rPr>
          <w:rFonts w:ascii="Times New Roman" w:eastAsia="標楷體" w:hAnsi="Times New Roman"/>
          <w:color w:val="FF0000"/>
          <w:sz w:val="28"/>
          <w:szCs w:val="28"/>
        </w:rPr>
        <w:t>7</w:t>
      </w:r>
      <w:r w:rsidRPr="008D3D5D">
        <w:rPr>
          <w:rFonts w:ascii="Times New Roman" w:eastAsia="標楷體" w:hAnsi="Times New Roman"/>
          <w:color w:val="FF0000"/>
          <w:sz w:val="28"/>
          <w:szCs w:val="28"/>
        </w:rPr>
        <w:t>千元。</w:t>
      </w:r>
    </w:p>
    <w:p w:rsidR="0096661D" w:rsidRPr="005D6D4A" w:rsidRDefault="0096661D" w:rsidP="0096661D">
      <w:pPr>
        <w:spacing w:line="400" w:lineRule="exact"/>
        <w:ind w:leftChars="200" w:left="480"/>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3、檢討及策進作為：</w:t>
      </w:r>
    </w:p>
    <w:p w:rsidR="0096661D" w:rsidRPr="005D6D4A" w:rsidRDefault="0096661D" w:rsidP="0096661D">
      <w:pPr>
        <w:widowControl/>
        <w:spacing w:before="120" w:after="120" w:line="440" w:lineRule="exact"/>
        <w:ind w:leftChars="320" w:left="1230" w:hangingChars="165" w:hanging="46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本部各項施政計畫係由業務單位予以研提，故有關年度性別預算編列情形，須請各單位於編列概算時，參酌各計畫「性別影響評估檢視表」相關建議，於研擬及配置經費時，考量不同性別、性傾向或性別認同者之需求，依獲配歲出概算額度按優先順序編列。</w:t>
      </w:r>
    </w:p>
    <w:p w:rsidR="0096661D" w:rsidRPr="005D6D4A" w:rsidRDefault="0096661D" w:rsidP="0096661D">
      <w:pPr>
        <w:widowControl/>
        <w:numPr>
          <w:ilvl w:val="0"/>
          <w:numId w:val="41"/>
        </w:numPr>
        <w:spacing w:beforeLines="50" w:before="180" w:afterLines="50" w:after="180" w:line="440" w:lineRule="exact"/>
        <w:ind w:left="602" w:hanging="602"/>
        <w:rPr>
          <w:rFonts w:ascii="標楷體" w:eastAsia="標楷體" w:hAnsi="標楷體"/>
          <w:b/>
          <w:color w:val="000000" w:themeColor="text1"/>
          <w:sz w:val="30"/>
          <w:szCs w:val="30"/>
        </w:rPr>
      </w:pPr>
      <w:r w:rsidRPr="005D6D4A">
        <w:rPr>
          <w:rFonts w:ascii="標楷體" w:eastAsia="標楷體" w:hAnsi="標楷體" w:hint="eastAsia"/>
          <w:b/>
          <w:color w:val="000000" w:themeColor="text1"/>
          <w:sz w:val="30"/>
          <w:szCs w:val="30"/>
        </w:rPr>
        <w:t>其他重要執行檢討及策進作為</w:t>
      </w:r>
    </w:p>
    <w:p w:rsidR="0096661D" w:rsidRPr="005D6D4A" w:rsidRDefault="0096661D" w:rsidP="0096661D">
      <w:pPr>
        <w:widowControl/>
        <w:spacing w:beforeLines="50" w:before="180" w:afterLines="50" w:after="180" w:line="440" w:lineRule="exact"/>
        <w:ind w:left="602"/>
        <w:rPr>
          <w:rFonts w:ascii="標楷體" w:eastAsia="標楷體" w:hAnsi="標楷體"/>
          <w:b/>
          <w:color w:val="000000" w:themeColor="text1"/>
          <w:sz w:val="30"/>
          <w:szCs w:val="30"/>
        </w:rPr>
      </w:pPr>
      <w:r w:rsidRPr="005D6D4A">
        <w:rPr>
          <w:rFonts w:ascii="標楷體" w:eastAsia="標楷體" w:hAnsi="標楷體" w:hint="eastAsia"/>
          <w:color w:val="000000" w:themeColor="text1"/>
          <w:sz w:val="28"/>
          <w:szCs w:val="28"/>
        </w:rPr>
        <w:t>無。</w:t>
      </w:r>
    </w:p>
    <w:p w:rsidR="0096661D" w:rsidRPr="005D6D4A" w:rsidRDefault="0096661D" w:rsidP="0096661D">
      <w:pPr>
        <w:widowControl/>
        <w:numPr>
          <w:ilvl w:val="0"/>
          <w:numId w:val="41"/>
        </w:numPr>
        <w:spacing w:beforeLines="50" w:before="180" w:afterLines="50" w:after="180" w:line="440" w:lineRule="exact"/>
        <w:ind w:left="602" w:hanging="602"/>
        <w:rPr>
          <w:rFonts w:ascii="標楷體" w:eastAsia="標楷體" w:hAnsi="標楷體"/>
          <w:b/>
          <w:color w:val="000000" w:themeColor="text1"/>
          <w:sz w:val="30"/>
          <w:szCs w:val="30"/>
        </w:rPr>
      </w:pPr>
      <w:r w:rsidRPr="005D6D4A">
        <w:rPr>
          <w:rFonts w:ascii="標楷體" w:eastAsia="標楷體" w:hAnsi="標楷體" w:hint="eastAsia"/>
          <w:b/>
          <w:color w:val="000000" w:themeColor="text1"/>
          <w:sz w:val="30"/>
          <w:szCs w:val="30"/>
        </w:rPr>
        <w:t>其他重大或特殊具體事蹟</w:t>
      </w:r>
    </w:p>
    <w:p w:rsidR="0096661D" w:rsidRPr="005D6D4A" w:rsidRDefault="0096661D" w:rsidP="0096661D">
      <w:pPr>
        <w:widowControl/>
        <w:spacing w:line="440" w:lineRule="exact"/>
        <w:ind w:left="480"/>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一、本部辦理「從性別平等觀點看民俗文化資產」教育訓練，辦理情形如下：</w:t>
      </w:r>
    </w:p>
    <w:p w:rsidR="0096661D" w:rsidRPr="005D6D4A" w:rsidRDefault="0096661D" w:rsidP="0096661D">
      <w:pPr>
        <w:widowControl/>
        <w:spacing w:line="440" w:lineRule="exact"/>
        <w:ind w:left="1274" w:hangingChars="455" w:hanging="127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（ㄧ）依據103年10月22日本部性別平等專案小組第二屆第1次會議紀錄之報告案第三案決議辦理。</w:t>
      </w:r>
    </w:p>
    <w:p w:rsidR="0096661D" w:rsidRPr="005D6D4A" w:rsidRDefault="0096661D" w:rsidP="0096661D">
      <w:pPr>
        <w:widowControl/>
        <w:spacing w:line="440" w:lineRule="exact"/>
        <w:ind w:left="1274" w:hangingChars="455" w:hanging="127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（二）旨揭專題演講規劃於北、中、南三區分別由本部、本部文化資產局及國立臺灣文學館各辦理1場次，總計辦理3場，參加人數221人 (男性81人；女性140人)。辦理內容簡列如下：</w:t>
      </w:r>
    </w:p>
    <w:p w:rsidR="0096661D" w:rsidRPr="005D6D4A" w:rsidRDefault="0096661D" w:rsidP="0096661D">
      <w:pPr>
        <w:widowControl/>
        <w:adjustRightInd w:val="0"/>
        <w:snapToGrid w:val="0"/>
        <w:spacing w:line="440" w:lineRule="exact"/>
        <w:ind w:left="28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1、本部：</w:t>
      </w:r>
    </w:p>
    <w:p w:rsidR="0096661D" w:rsidRPr="005D6D4A" w:rsidRDefault="0096661D" w:rsidP="0096661D">
      <w:pPr>
        <w:widowControl/>
        <w:numPr>
          <w:ilvl w:val="0"/>
          <w:numId w:val="44"/>
        </w:numPr>
        <w:adjustRightInd w:val="0"/>
        <w:snapToGrid w:val="0"/>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主講人：中央研究院民族學研究所研究員張珣</w:t>
      </w:r>
    </w:p>
    <w:p w:rsidR="0096661D" w:rsidRPr="005D6D4A" w:rsidRDefault="0096661D" w:rsidP="0096661D">
      <w:pPr>
        <w:widowControl/>
        <w:numPr>
          <w:ilvl w:val="0"/>
          <w:numId w:val="44"/>
        </w:numPr>
        <w:adjustRightInd w:val="0"/>
        <w:snapToGrid w:val="0"/>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lastRenderedPageBreak/>
        <w:t>時間：104年7月16日(星期四)下午2時至4時30</w:t>
      </w:r>
      <w:r w:rsidR="00D11A47" w:rsidRPr="005D6D4A">
        <w:rPr>
          <w:rFonts w:ascii="標楷體" w:eastAsia="標楷體" w:hAnsi="標楷體"/>
          <w:color w:val="000000" w:themeColor="text1"/>
          <w:sz w:val="28"/>
          <w:szCs w:val="28"/>
        </w:rPr>
        <w:br/>
      </w:r>
      <w:r w:rsidR="00D11A47" w:rsidRPr="005D6D4A">
        <w:rPr>
          <w:rFonts w:ascii="標楷體" w:eastAsia="標楷體" w:hAnsi="標楷體" w:hint="eastAsia"/>
          <w:color w:val="000000" w:themeColor="text1"/>
          <w:sz w:val="28"/>
          <w:szCs w:val="28"/>
        </w:rPr>
        <w:t xml:space="preserve">      </w:t>
      </w:r>
      <w:r w:rsidRPr="005D6D4A">
        <w:rPr>
          <w:rFonts w:ascii="標楷體" w:eastAsia="標楷體" w:hAnsi="標楷體" w:hint="eastAsia"/>
          <w:color w:val="000000" w:themeColor="text1"/>
          <w:sz w:val="28"/>
          <w:szCs w:val="28"/>
        </w:rPr>
        <w:t>分。</w:t>
      </w:r>
    </w:p>
    <w:p w:rsidR="0096661D" w:rsidRPr="005D6D4A" w:rsidRDefault="0096661D" w:rsidP="0096661D">
      <w:pPr>
        <w:widowControl/>
        <w:numPr>
          <w:ilvl w:val="0"/>
          <w:numId w:val="44"/>
        </w:numPr>
        <w:adjustRightInd w:val="0"/>
        <w:snapToGrid w:val="0"/>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參訓人數：106人(男性30人；女性76人)。</w:t>
      </w:r>
    </w:p>
    <w:p w:rsidR="0096661D" w:rsidRPr="005D6D4A" w:rsidRDefault="0096661D" w:rsidP="0096661D">
      <w:pPr>
        <w:widowControl/>
        <w:adjustRightInd w:val="0"/>
        <w:snapToGrid w:val="0"/>
        <w:spacing w:line="440" w:lineRule="exact"/>
        <w:ind w:left="284"/>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2、文資局：</w:t>
      </w:r>
    </w:p>
    <w:p w:rsidR="0096661D" w:rsidRPr="005D6D4A" w:rsidRDefault="0096661D" w:rsidP="0096661D">
      <w:pPr>
        <w:widowControl/>
        <w:numPr>
          <w:ilvl w:val="0"/>
          <w:numId w:val="45"/>
        </w:numPr>
        <w:adjustRightInd w:val="0"/>
        <w:snapToGrid w:val="0"/>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主講人：國立中興大學歷史系林正珍教授。</w:t>
      </w:r>
    </w:p>
    <w:p w:rsidR="0096661D" w:rsidRPr="005D6D4A" w:rsidRDefault="0096661D" w:rsidP="0096661D">
      <w:pPr>
        <w:widowControl/>
        <w:numPr>
          <w:ilvl w:val="0"/>
          <w:numId w:val="45"/>
        </w:numPr>
        <w:adjustRightInd w:val="0"/>
        <w:snapToGrid w:val="0"/>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時間：104年7月15日(星期三)下午2時至4時。</w:t>
      </w:r>
    </w:p>
    <w:p w:rsidR="0096661D" w:rsidRPr="005D6D4A" w:rsidRDefault="0096661D" w:rsidP="0096661D">
      <w:pPr>
        <w:widowControl/>
        <w:numPr>
          <w:ilvl w:val="0"/>
          <w:numId w:val="45"/>
        </w:numPr>
        <w:adjustRightInd w:val="0"/>
        <w:snapToGrid w:val="0"/>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參訓人數：55人(男性24人；女性31人)。</w:t>
      </w:r>
    </w:p>
    <w:p w:rsidR="0096661D" w:rsidRPr="005D6D4A" w:rsidRDefault="0096661D" w:rsidP="0096661D">
      <w:pPr>
        <w:widowControl/>
        <w:spacing w:line="44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3、文學館：</w:t>
      </w:r>
    </w:p>
    <w:p w:rsidR="0096661D" w:rsidRPr="005D6D4A" w:rsidRDefault="0096661D" w:rsidP="0096661D">
      <w:pPr>
        <w:widowControl/>
        <w:numPr>
          <w:ilvl w:val="0"/>
          <w:numId w:val="46"/>
        </w:numPr>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主講人：國立成功大學歷史系陳梅卿教授。</w:t>
      </w:r>
    </w:p>
    <w:p w:rsidR="0096661D" w:rsidRPr="005D6D4A" w:rsidRDefault="0096661D" w:rsidP="0096661D">
      <w:pPr>
        <w:widowControl/>
        <w:numPr>
          <w:ilvl w:val="0"/>
          <w:numId w:val="46"/>
        </w:numPr>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時間：104年7月22日(星期三)上午10時至12</w:t>
      </w:r>
      <w:r w:rsidR="00D11A47" w:rsidRPr="005D6D4A">
        <w:rPr>
          <w:rFonts w:ascii="標楷體" w:eastAsia="標楷體" w:hAnsi="標楷體"/>
          <w:color w:val="000000" w:themeColor="text1"/>
          <w:sz w:val="28"/>
          <w:szCs w:val="28"/>
        </w:rPr>
        <w:br/>
      </w:r>
      <w:r w:rsidR="00D11A47" w:rsidRPr="005D6D4A">
        <w:rPr>
          <w:rFonts w:ascii="標楷體" w:eastAsia="標楷體" w:hAnsi="標楷體" w:hint="eastAsia"/>
          <w:color w:val="000000" w:themeColor="text1"/>
          <w:sz w:val="28"/>
          <w:szCs w:val="28"/>
        </w:rPr>
        <w:t xml:space="preserve">      </w:t>
      </w:r>
      <w:r w:rsidRPr="005D6D4A">
        <w:rPr>
          <w:rFonts w:ascii="標楷體" w:eastAsia="標楷體" w:hAnsi="標楷體" w:hint="eastAsia"/>
          <w:color w:val="000000" w:themeColor="text1"/>
          <w:sz w:val="28"/>
          <w:szCs w:val="28"/>
        </w:rPr>
        <w:t>時。</w:t>
      </w:r>
    </w:p>
    <w:p w:rsidR="0096661D" w:rsidRPr="005D6D4A" w:rsidRDefault="0096661D" w:rsidP="0096661D">
      <w:pPr>
        <w:widowControl/>
        <w:numPr>
          <w:ilvl w:val="0"/>
          <w:numId w:val="46"/>
        </w:numPr>
        <w:spacing w:line="440" w:lineRule="exact"/>
        <w:ind w:firstLine="279"/>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參訓人數：60人(男性27人；女性33人)。</w:t>
      </w:r>
    </w:p>
    <w:p w:rsidR="0096661D" w:rsidRPr="005D6D4A" w:rsidRDefault="0096661D" w:rsidP="0096661D">
      <w:pPr>
        <w:widowControl/>
        <w:spacing w:beforeLines="50" w:before="180" w:afterLines="50" w:after="180" w:line="440" w:lineRule="exact"/>
        <w:ind w:leftChars="200" w:left="480"/>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二、本部附屬館所聯合舉辦「臺灣女孩日」相關優惠活動：</w:t>
      </w:r>
    </w:p>
    <w:p w:rsidR="0096661D" w:rsidRPr="005D6D4A" w:rsidRDefault="0096661D" w:rsidP="0096661D">
      <w:pPr>
        <w:widowControl/>
        <w:spacing w:line="440" w:lineRule="exact"/>
        <w:ind w:left="991" w:hangingChars="354" w:hanging="991"/>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(一)國立臺灣交響樂團於臺灣女孩日前後</w:t>
      </w:r>
      <w:r w:rsidR="00BF111B" w:rsidRPr="005D6D4A">
        <w:rPr>
          <w:rFonts w:ascii="標楷體" w:eastAsia="標楷體" w:hAnsi="標楷體" w:hint="eastAsia"/>
          <w:color w:val="000000" w:themeColor="text1"/>
          <w:sz w:val="28"/>
          <w:szCs w:val="28"/>
        </w:rPr>
        <w:t>，</w:t>
      </w:r>
      <w:r w:rsidRPr="005D6D4A">
        <w:rPr>
          <w:rFonts w:ascii="標楷體" w:eastAsia="標楷體" w:hAnsi="標楷體" w:hint="eastAsia"/>
          <w:color w:val="000000" w:themeColor="text1"/>
          <w:sz w:val="28"/>
          <w:szCs w:val="28"/>
        </w:rPr>
        <w:t>凡18歲(含)以下女孩入場欣賞10月9-10日「專題音樂會二-德意志之夜」或10月14-15日「專題音樂會三-絢麗佛拉明哥」音樂會者，可憑證件獲優雅小禮。</w:t>
      </w:r>
    </w:p>
    <w:p w:rsidR="0096661D" w:rsidRPr="005D6D4A" w:rsidRDefault="0096661D" w:rsidP="0096661D">
      <w:pPr>
        <w:widowControl/>
        <w:spacing w:line="440" w:lineRule="exact"/>
        <w:ind w:left="991" w:hangingChars="354" w:hanging="991"/>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(二)國立歷史博物館、國立臺灣史前文化博物館、國立傳統藝術中心</w:t>
      </w:r>
      <w:r w:rsidR="00BF111B" w:rsidRPr="005D6D4A">
        <w:rPr>
          <w:rFonts w:ascii="標楷體" w:eastAsia="標楷體" w:hAnsi="標楷體" w:hint="eastAsia"/>
          <w:color w:val="000000" w:themeColor="text1"/>
          <w:sz w:val="28"/>
          <w:szCs w:val="28"/>
        </w:rPr>
        <w:t>，</w:t>
      </w:r>
      <w:r w:rsidRPr="005D6D4A">
        <w:rPr>
          <w:rFonts w:ascii="標楷體" w:eastAsia="標楷體" w:hAnsi="標楷體" w:hint="eastAsia"/>
          <w:color w:val="000000" w:themeColor="text1"/>
          <w:sz w:val="28"/>
          <w:szCs w:val="28"/>
        </w:rPr>
        <w:t>於臺灣女孩日當天辦理女孩入館免門票活動。</w:t>
      </w:r>
    </w:p>
    <w:p w:rsidR="0096661D" w:rsidRPr="005D6D4A" w:rsidRDefault="0096661D" w:rsidP="0096661D">
      <w:pPr>
        <w:widowControl/>
        <w:spacing w:line="440" w:lineRule="exact"/>
        <w:ind w:left="991" w:hangingChars="354" w:hanging="991"/>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(三)國立臺灣歷史博物館辦理臺灣女孩日前100名女性觀眾入館，即贈專案優惠券1張之相關活動。</w:t>
      </w:r>
    </w:p>
    <w:p w:rsidR="0096661D" w:rsidRPr="005D6D4A" w:rsidRDefault="0096661D" w:rsidP="0096661D">
      <w:pPr>
        <w:widowControl/>
        <w:spacing w:before="120" w:after="120" w:line="440" w:lineRule="exact"/>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三、推動民俗參與機會平等，宣導民俗性平觀點：</w:t>
      </w:r>
    </w:p>
    <w:p w:rsidR="0096661D" w:rsidRPr="005D6D4A" w:rsidRDefault="0096661D" w:rsidP="0096661D">
      <w:pPr>
        <w:widowControl/>
        <w:spacing w:line="440" w:lineRule="exact"/>
        <w:ind w:left="991" w:hangingChars="354" w:hanging="991"/>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(一)為鼓勵縣市政府推廣民俗性平觀點，本部文化資產局104年度補助臺南市文化資產管理處與民間團體共同辦理民俗文化資產「七娘媽生，作十六歲」成年禮核心儀式活動，在104年8月農曆七夕活動過程中</w:t>
      </w:r>
      <w:r w:rsidR="00BF111B" w:rsidRPr="005D6D4A">
        <w:rPr>
          <w:rFonts w:ascii="標楷體" w:eastAsia="標楷體" w:hAnsi="標楷體" w:hint="eastAsia"/>
          <w:color w:val="000000" w:themeColor="text1"/>
          <w:sz w:val="28"/>
          <w:szCs w:val="28"/>
        </w:rPr>
        <w:t>，</w:t>
      </w:r>
      <w:r w:rsidRPr="005D6D4A">
        <w:rPr>
          <w:rFonts w:ascii="標楷體" w:eastAsia="標楷體" w:hAnsi="標楷體" w:hint="eastAsia"/>
          <w:color w:val="000000" w:themeColor="text1"/>
          <w:sz w:val="28"/>
          <w:szCs w:val="28"/>
        </w:rPr>
        <w:t>推廣「男女均能參加成年禮」之性別平等觀念。</w:t>
      </w:r>
    </w:p>
    <w:p w:rsidR="0096661D" w:rsidRPr="005D6D4A" w:rsidRDefault="0096661D" w:rsidP="0096661D">
      <w:pPr>
        <w:widowControl/>
        <w:spacing w:line="440" w:lineRule="exact"/>
        <w:ind w:left="991" w:hangingChars="354" w:hanging="991"/>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 xml:space="preserve">   (二)104年12月12日邀請張珣研究員與林茂賢教授以「從人類學角度看民俗文化資產與性別平等觀點」為題進行對談，並</w:t>
      </w:r>
      <w:r w:rsidRPr="005D6D4A">
        <w:rPr>
          <w:rFonts w:ascii="標楷體" w:eastAsia="標楷體" w:hAnsi="標楷體" w:hint="eastAsia"/>
          <w:color w:val="000000" w:themeColor="text1"/>
          <w:sz w:val="28"/>
          <w:szCs w:val="28"/>
        </w:rPr>
        <w:lastRenderedPageBreak/>
        <w:t>與參加民眾及民俗團體代表進行溝通交流，以推廣民俗參與機會平等觀念。</w:t>
      </w:r>
    </w:p>
    <w:p w:rsidR="0096661D" w:rsidRPr="005D6D4A" w:rsidRDefault="0096661D" w:rsidP="0096661D">
      <w:pPr>
        <w:widowControl/>
        <w:spacing w:before="120" w:after="120" w:line="440" w:lineRule="exact"/>
        <w:ind w:leftChars="199" w:left="990" w:hangingChars="183" w:hanging="512"/>
        <w:rPr>
          <w:rFonts w:ascii="標楷體" w:eastAsia="標楷體" w:hAnsi="標楷體"/>
          <w:color w:val="000000" w:themeColor="text1"/>
          <w:sz w:val="28"/>
          <w:szCs w:val="28"/>
        </w:rPr>
      </w:pPr>
      <w:r w:rsidRPr="005D6D4A">
        <w:rPr>
          <w:rFonts w:ascii="標楷體" w:eastAsia="標楷體" w:hAnsi="標楷體" w:hint="eastAsia"/>
          <w:color w:val="000000" w:themeColor="text1"/>
          <w:sz w:val="28"/>
          <w:szCs w:val="28"/>
        </w:rPr>
        <w:t>四、國立傳統藝術中心104年歌仔戲前場新苗培育計畫，共計培育前場女性藝生7位，並於11月7日、12月5日與12月19日辦理育成大戲演出，觀眾人數計約2,700</w:t>
      </w:r>
      <w:r w:rsidR="00BF111B" w:rsidRPr="005D6D4A">
        <w:rPr>
          <w:rFonts w:ascii="標楷體" w:eastAsia="標楷體" w:hAnsi="標楷體" w:hint="eastAsia"/>
          <w:color w:val="000000" w:themeColor="text1"/>
          <w:sz w:val="28"/>
          <w:szCs w:val="28"/>
        </w:rPr>
        <w:t>人。</w:t>
      </w:r>
      <w:r w:rsidRPr="005D6D4A">
        <w:rPr>
          <w:rFonts w:ascii="標楷體" w:eastAsia="標楷體" w:hAnsi="標楷體" w:hint="eastAsia"/>
          <w:color w:val="000000" w:themeColor="text1"/>
          <w:sz w:val="28"/>
          <w:szCs w:val="28"/>
        </w:rPr>
        <w:t>同步</w:t>
      </w:r>
      <w:r w:rsidR="00BF111B" w:rsidRPr="005D6D4A">
        <w:rPr>
          <w:rFonts w:ascii="標楷體" w:eastAsia="標楷體" w:hAnsi="標楷體" w:hint="eastAsia"/>
          <w:color w:val="000000" w:themeColor="text1"/>
          <w:sz w:val="28"/>
          <w:szCs w:val="28"/>
        </w:rPr>
        <w:t>亦</w:t>
      </w:r>
      <w:r w:rsidRPr="005D6D4A">
        <w:rPr>
          <w:rFonts w:ascii="標楷體" w:eastAsia="標楷體" w:hAnsi="標楷體" w:hint="eastAsia"/>
          <w:color w:val="000000" w:themeColor="text1"/>
          <w:sz w:val="28"/>
          <w:szCs w:val="28"/>
        </w:rPr>
        <w:t>辦理104年輔導戲曲後場人才演訓計畫，共計培育後場樂師6位，其中女性藝生4位，約占總人數比例之67％，並於10月7日、10月9日、10月31日、11月1日、12月4日至12月13日、12月19日辦理育成大戲演出。</w:t>
      </w:r>
    </w:p>
    <w:p w:rsidR="0096661D" w:rsidRPr="005D6D4A" w:rsidRDefault="0096661D" w:rsidP="0096661D">
      <w:pPr>
        <w:widowControl/>
        <w:spacing w:beforeLines="50" w:before="180" w:afterLines="50" w:after="180" w:line="440" w:lineRule="exact"/>
        <w:ind w:left="851"/>
        <w:rPr>
          <w:rFonts w:ascii="標楷體" w:eastAsia="標楷體" w:hAnsi="標楷體"/>
          <w:color w:val="000000" w:themeColor="text1"/>
          <w:sz w:val="28"/>
          <w:szCs w:val="28"/>
        </w:rPr>
      </w:pPr>
    </w:p>
    <w:p w:rsidR="0096661D" w:rsidRPr="005D6D4A" w:rsidRDefault="0096661D" w:rsidP="0096661D">
      <w:pPr>
        <w:widowControl/>
        <w:spacing w:beforeLines="50" w:before="180" w:afterLines="50" w:after="180" w:line="440" w:lineRule="exact"/>
        <w:rPr>
          <w:rFonts w:ascii="標楷體" w:eastAsia="標楷體" w:hAnsi="標楷體"/>
          <w:b/>
          <w:color w:val="000000" w:themeColor="text1"/>
          <w:sz w:val="30"/>
          <w:szCs w:val="30"/>
        </w:rPr>
      </w:pPr>
    </w:p>
    <w:p w:rsidR="0096661D" w:rsidRPr="005D6D4A" w:rsidRDefault="0096661D" w:rsidP="00BE1C78">
      <w:pPr>
        <w:rPr>
          <w:rFonts w:ascii="標楷體" w:eastAsia="標楷體" w:hAnsi="標楷體"/>
          <w:b/>
          <w:color w:val="000000" w:themeColor="text1"/>
          <w:sz w:val="28"/>
          <w:szCs w:val="28"/>
          <w:bdr w:val="single" w:sz="4" w:space="0" w:color="auto"/>
        </w:rPr>
      </w:pPr>
    </w:p>
    <w:sectPr w:rsidR="0096661D" w:rsidRPr="005D6D4A" w:rsidSect="002E4FF3">
      <w:footerReference w:type="default" r:id="rId8"/>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0C" w:rsidRDefault="00BC110C" w:rsidP="00197808">
      <w:r>
        <w:separator/>
      </w:r>
    </w:p>
  </w:endnote>
  <w:endnote w:type="continuationSeparator" w:id="0">
    <w:p w:rsidR="00BC110C" w:rsidRDefault="00BC110C" w:rsidP="0019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B3" w:rsidRDefault="00470BB3">
    <w:pPr>
      <w:pStyle w:val="a5"/>
      <w:jc w:val="center"/>
    </w:pPr>
    <w:r>
      <w:fldChar w:fldCharType="begin"/>
    </w:r>
    <w:r>
      <w:instrText>PAGE   \* MERGEFORMAT</w:instrText>
    </w:r>
    <w:r>
      <w:fldChar w:fldCharType="separate"/>
    </w:r>
    <w:r w:rsidR="00D91E87" w:rsidRPr="00D91E87">
      <w:rPr>
        <w:noProof/>
        <w:lang w:val="zh-TW"/>
      </w:rPr>
      <w:t>1</w:t>
    </w:r>
    <w:r>
      <w:rPr>
        <w:noProof/>
        <w:lang w:val="zh-TW"/>
      </w:rPr>
      <w:fldChar w:fldCharType="end"/>
    </w:r>
  </w:p>
  <w:p w:rsidR="00470BB3" w:rsidRDefault="00470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0C" w:rsidRDefault="00BC110C" w:rsidP="00197808">
      <w:r>
        <w:separator/>
      </w:r>
    </w:p>
  </w:footnote>
  <w:footnote w:type="continuationSeparator" w:id="0">
    <w:p w:rsidR="00BC110C" w:rsidRDefault="00BC110C" w:rsidP="00197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F27"/>
    <w:multiLevelType w:val="hybridMultilevel"/>
    <w:tmpl w:val="088090B0"/>
    <w:lvl w:ilvl="0" w:tplc="6C7A213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36A1E"/>
    <w:multiLevelType w:val="hybridMultilevel"/>
    <w:tmpl w:val="1C9ABF8A"/>
    <w:lvl w:ilvl="0" w:tplc="0F98A85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A42264C"/>
    <w:multiLevelType w:val="hybridMultilevel"/>
    <w:tmpl w:val="53F8E076"/>
    <w:lvl w:ilvl="0" w:tplc="6E88F86E">
      <w:start w:val="1"/>
      <w:numFmt w:val="taiwaneseCountingThousand"/>
      <w:lvlText w:val="%1、"/>
      <w:lvlJc w:val="left"/>
      <w:pPr>
        <w:ind w:left="1284" w:hanging="720"/>
      </w:pPr>
      <w:rPr>
        <w:rFonts w:hAnsi="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0A4815A9"/>
    <w:multiLevelType w:val="hybridMultilevel"/>
    <w:tmpl w:val="CEB0C94E"/>
    <w:lvl w:ilvl="0" w:tplc="D32CF224">
      <w:start w:val="1"/>
      <w:numFmt w:val="ideographLegalTraditional"/>
      <w:lvlText w:val="%1、"/>
      <w:lvlJc w:val="left"/>
      <w:pPr>
        <w:tabs>
          <w:tab w:val="num" w:pos="720"/>
        </w:tabs>
        <w:ind w:left="720" w:hanging="720"/>
      </w:pPr>
      <w:rPr>
        <w:rFonts w:cs="Times New Roman" w:hint="default"/>
        <w:b/>
      </w:rPr>
    </w:lvl>
    <w:lvl w:ilvl="1" w:tplc="EC7CD082">
      <w:start w:val="1"/>
      <w:numFmt w:val="taiwaneseCountingThousand"/>
      <w:lvlText w:val="%2、"/>
      <w:lvlJc w:val="left"/>
      <w:pPr>
        <w:tabs>
          <w:tab w:val="num" w:pos="720"/>
        </w:tabs>
        <w:ind w:left="720" w:hanging="720"/>
      </w:pPr>
      <w:rPr>
        <w:rFonts w:cs="Times New Roman" w:hint="eastAsia"/>
        <w:b/>
      </w:rPr>
    </w:lvl>
    <w:lvl w:ilvl="2" w:tplc="E42CE97C">
      <w:start w:val="1"/>
      <w:numFmt w:val="taiwaneseCountingThousand"/>
      <w:lvlText w:val="(%3)"/>
      <w:lvlJc w:val="left"/>
      <w:pPr>
        <w:tabs>
          <w:tab w:val="num" w:pos="1560"/>
        </w:tabs>
        <w:ind w:left="1560" w:hanging="60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A5352DF"/>
    <w:multiLevelType w:val="hybridMultilevel"/>
    <w:tmpl w:val="23EC9772"/>
    <w:lvl w:ilvl="0" w:tplc="5EFA3B12">
      <w:start w:val="1"/>
      <w:numFmt w:val="taiwaneseCountingThousand"/>
      <w:lvlText w:val="%1、"/>
      <w:lvlJc w:val="left"/>
      <w:pPr>
        <w:ind w:left="8801"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BE75BEE"/>
    <w:multiLevelType w:val="hybridMultilevel"/>
    <w:tmpl w:val="C5CA73AC"/>
    <w:lvl w:ilvl="0" w:tplc="37A40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33E8D"/>
    <w:multiLevelType w:val="hybridMultilevel"/>
    <w:tmpl w:val="9AB4795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8BC18BC"/>
    <w:multiLevelType w:val="hybridMultilevel"/>
    <w:tmpl w:val="03AC1978"/>
    <w:lvl w:ilvl="0" w:tplc="4F48EC6C">
      <w:start w:val="1"/>
      <w:numFmt w:val="taiwaneseCountingThousand"/>
      <w:lvlText w:val="%1、"/>
      <w:lvlJc w:val="left"/>
      <w:pPr>
        <w:ind w:left="1215" w:hanging="600"/>
      </w:pPr>
      <w:rPr>
        <w:rFonts w:ascii="Times New Roman" w:hint="default"/>
        <w:b w:val="0"/>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8" w15:restartNumberingAfterBreak="0">
    <w:nsid w:val="20FA578D"/>
    <w:multiLevelType w:val="hybridMultilevel"/>
    <w:tmpl w:val="8656FB2C"/>
    <w:lvl w:ilvl="0" w:tplc="2FB6B9F6">
      <w:start w:val="1"/>
      <w:numFmt w:val="decimal"/>
      <w:lvlText w:val="%1."/>
      <w:lvlJc w:val="left"/>
      <w:pPr>
        <w:ind w:left="2760" w:hanging="360"/>
      </w:pPr>
      <w:rPr>
        <w:rFonts w:ascii="標楷體" w:eastAsia="標楷體" w:hAnsi="標楷體"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9" w15:restartNumberingAfterBreak="0">
    <w:nsid w:val="21EA579B"/>
    <w:multiLevelType w:val="hybridMultilevel"/>
    <w:tmpl w:val="E5A476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9C60E0"/>
    <w:multiLevelType w:val="hybridMultilevel"/>
    <w:tmpl w:val="D5A4A4A4"/>
    <w:lvl w:ilvl="0" w:tplc="9258E644">
      <w:start w:val="1"/>
      <w:numFmt w:val="decimal"/>
      <w:lvlText w:val="%1."/>
      <w:lvlJc w:val="left"/>
      <w:pPr>
        <w:ind w:left="720" w:hanging="720"/>
      </w:pPr>
      <w:rPr>
        <w:rFonts w:cs="Times New Roman" w:hint="default"/>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27291A7D"/>
    <w:multiLevelType w:val="hybridMultilevel"/>
    <w:tmpl w:val="E4A0821A"/>
    <w:lvl w:ilvl="0" w:tplc="12A21A96">
      <w:start w:val="1"/>
      <w:numFmt w:val="decimal"/>
      <w:lvlText w:val="%1."/>
      <w:lvlJc w:val="left"/>
      <w:pPr>
        <w:ind w:left="480" w:hanging="480"/>
      </w:pPr>
      <w:rPr>
        <w:rFonts w:cs="Times New Roman"/>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7D9761C"/>
    <w:multiLevelType w:val="hybridMultilevel"/>
    <w:tmpl w:val="4F003F24"/>
    <w:lvl w:ilvl="0" w:tplc="0409000F">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2A7A3818"/>
    <w:multiLevelType w:val="hybridMultilevel"/>
    <w:tmpl w:val="D4AEA448"/>
    <w:lvl w:ilvl="0" w:tplc="6BAAE6AC">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4" w15:restartNumberingAfterBreak="0">
    <w:nsid w:val="2A8724DC"/>
    <w:multiLevelType w:val="hybridMultilevel"/>
    <w:tmpl w:val="A48C1080"/>
    <w:lvl w:ilvl="0" w:tplc="679E79F4">
      <w:start w:val="1"/>
      <w:numFmt w:val="taiwaneseCountingThousand"/>
      <w:lvlText w:val="%1、"/>
      <w:lvlJc w:val="left"/>
      <w:pPr>
        <w:ind w:left="40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894A5F"/>
    <w:multiLevelType w:val="hybridMultilevel"/>
    <w:tmpl w:val="C89C818A"/>
    <w:lvl w:ilvl="0" w:tplc="1E2CDB4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F80A6E"/>
    <w:multiLevelType w:val="hybridMultilevel"/>
    <w:tmpl w:val="87AC5EE4"/>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 w15:restartNumberingAfterBreak="0">
    <w:nsid w:val="31D61D40"/>
    <w:multiLevelType w:val="hybridMultilevel"/>
    <w:tmpl w:val="79E26DC2"/>
    <w:lvl w:ilvl="0" w:tplc="CAE89FEA">
      <w:start w:val="1"/>
      <w:numFmt w:val="decimal"/>
      <w:lvlText w:val="%1."/>
      <w:lvlJc w:val="left"/>
      <w:pPr>
        <w:tabs>
          <w:tab w:val="num" w:pos="567"/>
        </w:tabs>
        <w:ind w:left="567" w:hanging="567"/>
      </w:pPr>
      <w:rPr>
        <w:rFonts w:cs="Times New Roman" w:hint="eastAsia"/>
        <w:b w:val="0"/>
      </w:rPr>
    </w:lvl>
    <w:lvl w:ilvl="1" w:tplc="CDD88A3A">
      <w:start w:val="1"/>
      <w:numFmt w:val="decimal"/>
      <w:lvlText w:val="(%2)"/>
      <w:lvlJc w:val="left"/>
      <w:pPr>
        <w:tabs>
          <w:tab w:val="num" w:pos="567"/>
        </w:tabs>
        <w:ind w:left="567" w:hanging="454"/>
      </w:pPr>
      <w:rPr>
        <w:rFonts w:cs="Times New Roman" w:hint="eastAsia"/>
        <w:b w:val="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33706D5"/>
    <w:multiLevelType w:val="hybridMultilevel"/>
    <w:tmpl w:val="9FFAC182"/>
    <w:lvl w:ilvl="0" w:tplc="4E5A6212">
      <w:start w:val="1"/>
      <w:numFmt w:val="taiwaneseCountingThousand"/>
      <w:lvlText w:val="%1、"/>
      <w:lvlJc w:val="left"/>
      <w:pPr>
        <w:ind w:left="1149" w:hanging="585"/>
      </w:pPr>
      <w:rPr>
        <w:rFonts w:cs="Times New Roman" w:hint="default"/>
        <w:b w:val="0"/>
        <w:color w:val="auto"/>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9" w15:restartNumberingAfterBreak="0">
    <w:nsid w:val="345E3C51"/>
    <w:multiLevelType w:val="hybridMultilevel"/>
    <w:tmpl w:val="FE3627A0"/>
    <w:lvl w:ilvl="0" w:tplc="D1C2B5DA">
      <w:start w:val="1"/>
      <w:numFmt w:val="upperLetter"/>
      <w:lvlText w:val="%1."/>
      <w:lvlJc w:val="left"/>
      <w:pPr>
        <w:ind w:left="1129" w:hanging="4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35EB39F5"/>
    <w:multiLevelType w:val="hybridMultilevel"/>
    <w:tmpl w:val="A6185EA4"/>
    <w:lvl w:ilvl="0" w:tplc="8CE6C7D4">
      <w:start w:val="1"/>
      <w:numFmt w:val="taiwaneseCountingThousand"/>
      <w:lvlText w:val="%1、"/>
      <w:lvlJc w:val="left"/>
      <w:pPr>
        <w:ind w:left="1130" w:hanging="57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387B15D2"/>
    <w:multiLevelType w:val="hybridMultilevel"/>
    <w:tmpl w:val="04429F72"/>
    <w:lvl w:ilvl="0" w:tplc="4F3AEDE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B626464"/>
    <w:multiLevelType w:val="hybridMultilevel"/>
    <w:tmpl w:val="57606EAA"/>
    <w:lvl w:ilvl="0" w:tplc="DB18A9A6">
      <w:start w:val="1"/>
      <w:numFmt w:val="taiwaneseCountingThousand"/>
      <w:lvlText w:val="%1、"/>
      <w:lvlJc w:val="left"/>
      <w:pPr>
        <w:ind w:left="960" w:hanging="9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602AF"/>
    <w:multiLevelType w:val="hybridMultilevel"/>
    <w:tmpl w:val="03D6849C"/>
    <w:lvl w:ilvl="0" w:tplc="314C7F1E">
      <w:start w:val="1"/>
      <w:numFmt w:val="taiwaneseCountingThousand"/>
      <w:lvlText w:val="%1、"/>
      <w:lvlJc w:val="left"/>
      <w:pPr>
        <w:ind w:left="720" w:hanging="720"/>
      </w:pPr>
      <w:rPr>
        <w:rFonts w:asciiTheme="minorHAnsi" w:hAnsiTheme="minorHAnsi"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1624ED"/>
    <w:multiLevelType w:val="hybridMultilevel"/>
    <w:tmpl w:val="A8B259DC"/>
    <w:lvl w:ilvl="0" w:tplc="A3B6E9B6">
      <w:start w:val="1"/>
      <w:numFmt w:val="decimal"/>
      <w:lvlText w:val="(%1)"/>
      <w:lvlJc w:val="left"/>
      <w:pPr>
        <w:ind w:left="1139"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E74A45"/>
    <w:multiLevelType w:val="hybridMultilevel"/>
    <w:tmpl w:val="BF363388"/>
    <w:lvl w:ilvl="0" w:tplc="7160FB5C">
      <w:start w:val="1"/>
      <w:numFmt w:val="taiwaneseCountingThousand"/>
      <w:lvlText w:val="%1、"/>
      <w:lvlJc w:val="left"/>
      <w:pPr>
        <w:ind w:left="392" w:hanging="39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416E595E"/>
    <w:multiLevelType w:val="hybridMultilevel"/>
    <w:tmpl w:val="2A7888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0019F6"/>
    <w:multiLevelType w:val="hybridMultilevel"/>
    <w:tmpl w:val="3B00F02A"/>
    <w:lvl w:ilvl="0" w:tplc="1D0484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482F81"/>
    <w:multiLevelType w:val="hybridMultilevel"/>
    <w:tmpl w:val="DC183112"/>
    <w:lvl w:ilvl="0" w:tplc="010ED3C0">
      <w:start w:val="1"/>
      <w:numFmt w:val="taiwaneseCountingThousand"/>
      <w:lvlText w:val="%1、"/>
      <w:lvlJc w:val="left"/>
      <w:pPr>
        <w:ind w:left="1680" w:hanging="72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5661003"/>
    <w:multiLevelType w:val="hybridMultilevel"/>
    <w:tmpl w:val="AACC0152"/>
    <w:lvl w:ilvl="0" w:tplc="CB9EF4D8">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9D32D1"/>
    <w:multiLevelType w:val="hybridMultilevel"/>
    <w:tmpl w:val="F4F63320"/>
    <w:lvl w:ilvl="0" w:tplc="A46434AA">
      <w:start w:val="1"/>
      <w:numFmt w:val="decimal"/>
      <w:lvlText w:val="%1."/>
      <w:lvlJc w:val="left"/>
      <w:pPr>
        <w:ind w:left="480" w:hanging="480"/>
      </w:pPr>
      <w:rPr>
        <w:rFonts w:cs="Times New Roman"/>
        <w:color w:val="auto"/>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46C66A43"/>
    <w:multiLevelType w:val="hybridMultilevel"/>
    <w:tmpl w:val="8D488192"/>
    <w:lvl w:ilvl="0" w:tplc="42147618">
      <w:start w:val="1"/>
      <w:numFmt w:val="decimal"/>
      <w:lvlText w:val="%1."/>
      <w:lvlJc w:val="left"/>
      <w:pPr>
        <w:ind w:left="720" w:hanging="720"/>
      </w:pPr>
      <w:rPr>
        <w:rFonts w:ascii="Times New Roman" w:eastAsia="標楷體" w:hAnsi="Times New Roman" w:cs="Times New Roman"/>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15:restartNumberingAfterBreak="0">
    <w:nsid w:val="4D3A6520"/>
    <w:multiLevelType w:val="hybridMultilevel"/>
    <w:tmpl w:val="92E61AE8"/>
    <w:lvl w:ilvl="0" w:tplc="AC48E630">
      <w:start w:val="1"/>
      <w:numFmt w:val="decimal"/>
      <w:lvlText w:val="%1."/>
      <w:lvlJc w:val="left"/>
      <w:pPr>
        <w:ind w:left="720" w:hanging="720"/>
      </w:pPr>
      <w:rPr>
        <w:rFonts w:ascii="Times New Roman" w:eastAsia="標楷體" w:hAnsi="Times New Roman" w:cs="Times New Roman"/>
        <w:color w:val="auto"/>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15:restartNumberingAfterBreak="0">
    <w:nsid w:val="4DED3757"/>
    <w:multiLevelType w:val="hybridMultilevel"/>
    <w:tmpl w:val="0FF8DE90"/>
    <w:lvl w:ilvl="0" w:tplc="3B741B2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1A724E"/>
    <w:multiLevelType w:val="hybridMultilevel"/>
    <w:tmpl w:val="9B745E34"/>
    <w:lvl w:ilvl="0" w:tplc="4B206C66">
      <w:start w:val="1"/>
      <w:numFmt w:val="decimal"/>
      <w:lvlText w:val="(%1)"/>
      <w:lvlJc w:val="left"/>
      <w:pPr>
        <w:ind w:left="1615" w:hanging="480"/>
      </w:pPr>
      <w:rPr>
        <w:rFonts w:hint="default"/>
        <w:shd w:val="clear" w:color="auto" w:fill="auto"/>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5" w15:restartNumberingAfterBreak="0">
    <w:nsid w:val="538436BF"/>
    <w:multiLevelType w:val="hybridMultilevel"/>
    <w:tmpl w:val="CAD6EE4A"/>
    <w:lvl w:ilvl="0" w:tplc="CCC08884">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42028A5"/>
    <w:multiLevelType w:val="hybridMultilevel"/>
    <w:tmpl w:val="B310EAAC"/>
    <w:lvl w:ilvl="0" w:tplc="12A21A96">
      <w:start w:val="1"/>
      <w:numFmt w:val="decimal"/>
      <w:lvlText w:val="%1."/>
      <w:lvlJc w:val="left"/>
      <w:pPr>
        <w:ind w:left="480" w:hanging="480"/>
      </w:pPr>
      <w:rPr>
        <w:rFonts w:cs="Times New Roman"/>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59333E9"/>
    <w:multiLevelType w:val="hybridMultilevel"/>
    <w:tmpl w:val="6A0CD9FC"/>
    <w:lvl w:ilvl="0" w:tplc="12A21A96">
      <w:start w:val="1"/>
      <w:numFmt w:val="decimal"/>
      <w:lvlText w:val="%1."/>
      <w:lvlJc w:val="left"/>
      <w:pPr>
        <w:ind w:left="480" w:hanging="480"/>
      </w:pPr>
      <w:rPr>
        <w:rFonts w:cs="Times New Roman"/>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5B1E638B"/>
    <w:multiLevelType w:val="hybridMultilevel"/>
    <w:tmpl w:val="FEA0D6C0"/>
    <w:lvl w:ilvl="0" w:tplc="0F14E3B8">
      <w:start w:val="1"/>
      <w:numFmt w:val="ideographLegalTraditional"/>
      <w:lvlText w:val="%1、"/>
      <w:lvlJc w:val="left"/>
      <w:pPr>
        <w:ind w:left="720" w:hanging="720"/>
      </w:pPr>
      <w:rPr>
        <w:rFonts w:ascii="Calibri" w:hAnsi="Calibr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F1374F"/>
    <w:multiLevelType w:val="hybridMultilevel"/>
    <w:tmpl w:val="4266D2CA"/>
    <w:lvl w:ilvl="0" w:tplc="FA2C3604">
      <w:start w:val="1"/>
      <w:numFmt w:val="decimal"/>
      <w:lvlText w:val="(%1)"/>
      <w:lvlJc w:val="left"/>
      <w:pPr>
        <w:ind w:left="1139"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A0777E"/>
    <w:multiLevelType w:val="hybridMultilevel"/>
    <w:tmpl w:val="07104F2C"/>
    <w:lvl w:ilvl="0" w:tplc="0409000F">
      <w:start w:val="1"/>
      <w:numFmt w:val="decimal"/>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69023D36"/>
    <w:multiLevelType w:val="hybridMultilevel"/>
    <w:tmpl w:val="FF6EE0CC"/>
    <w:lvl w:ilvl="0" w:tplc="0D283330">
      <w:start w:val="1"/>
      <w:numFmt w:val="taiwaneseCountingThousand"/>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2" w15:restartNumberingAfterBreak="0">
    <w:nsid w:val="696C21B8"/>
    <w:multiLevelType w:val="hybridMultilevel"/>
    <w:tmpl w:val="FD16DBC6"/>
    <w:lvl w:ilvl="0" w:tplc="7E029072">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3" w15:restartNumberingAfterBreak="0">
    <w:nsid w:val="6F584A6B"/>
    <w:multiLevelType w:val="hybridMultilevel"/>
    <w:tmpl w:val="288E1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2F37D6"/>
    <w:multiLevelType w:val="hybridMultilevel"/>
    <w:tmpl w:val="E2BA9974"/>
    <w:lvl w:ilvl="0" w:tplc="EC0C2D9A">
      <w:start w:val="1"/>
      <w:numFmt w:val="decimal"/>
      <w:lvlText w:val="(%1)"/>
      <w:lvlJc w:val="left"/>
      <w:pPr>
        <w:ind w:left="1139" w:hanging="855"/>
      </w:pPr>
      <w:rPr>
        <w:rFonts w:hint="default"/>
        <w:lang w:val="en-US"/>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5" w15:restartNumberingAfterBreak="0">
    <w:nsid w:val="78082A40"/>
    <w:multiLevelType w:val="hybridMultilevel"/>
    <w:tmpl w:val="6C88FD7C"/>
    <w:lvl w:ilvl="0" w:tplc="8F9847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67577"/>
    <w:multiLevelType w:val="hybridMultilevel"/>
    <w:tmpl w:val="7E421DA6"/>
    <w:lvl w:ilvl="0" w:tplc="06E61AE8">
      <w:start w:val="1"/>
      <w:numFmt w:val="taiwaneseCountingThousand"/>
      <w:lvlText w:val="（%1）"/>
      <w:lvlJc w:val="left"/>
      <w:pPr>
        <w:ind w:left="1564" w:hanging="85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7C6E5CD2"/>
    <w:multiLevelType w:val="hybridMultilevel"/>
    <w:tmpl w:val="0894937E"/>
    <w:lvl w:ilvl="0" w:tplc="6D468CD4">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3"/>
  </w:num>
  <w:num w:numId="2">
    <w:abstractNumId w:val="18"/>
  </w:num>
  <w:num w:numId="3">
    <w:abstractNumId w:val="17"/>
  </w:num>
  <w:num w:numId="4">
    <w:abstractNumId w:val="31"/>
  </w:num>
  <w:num w:numId="5">
    <w:abstractNumId w:val="32"/>
  </w:num>
  <w:num w:numId="6">
    <w:abstractNumId w:val="10"/>
  </w:num>
  <w:num w:numId="7">
    <w:abstractNumId w:val="12"/>
  </w:num>
  <w:num w:numId="8">
    <w:abstractNumId w:val="6"/>
  </w:num>
  <w:num w:numId="9">
    <w:abstractNumId w:val="40"/>
  </w:num>
  <w:num w:numId="10">
    <w:abstractNumId w:val="37"/>
  </w:num>
  <w:num w:numId="11">
    <w:abstractNumId w:val="30"/>
  </w:num>
  <w:num w:numId="12">
    <w:abstractNumId w:val="36"/>
  </w:num>
  <w:num w:numId="13">
    <w:abstractNumId w:val="11"/>
  </w:num>
  <w:num w:numId="14">
    <w:abstractNumId w:val="20"/>
  </w:num>
  <w:num w:numId="15">
    <w:abstractNumId w:val="35"/>
  </w:num>
  <w:num w:numId="16">
    <w:abstractNumId w:val="38"/>
  </w:num>
  <w:num w:numId="17">
    <w:abstractNumId w:val="29"/>
  </w:num>
  <w:num w:numId="18">
    <w:abstractNumId w:val="2"/>
  </w:num>
  <w:num w:numId="19">
    <w:abstractNumId w:val="21"/>
  </w:num>
  <w:num w:numId="20">
    <w:abstractNumId w:val="27"/>
  </w:num>
  <w:num w:numId="21">
    <w:abstractNumId w:val="14"/>
  </w:num>
  <w:num w:numId="22">
    <w:abstractNumId w:val="22"/>
  </w:num>
  <w:num w:numId="23">
    <w:abstractNumId w:val="15"/>
  </w:num>
  <w:num w:numId="24">
    <w:abstractNumId w:val="13"/>
  </w:num>
  <w:num w:numId="25">
    <w:abstractNumId w:val="25"/>
  </w:num>
  <w:num w:numId="26">
    <w:abstractNumId w:val="41"/>
  </w:num>
  <w:num w:numId="27">
    <w:abstractNumId w:val="33"/>
  </w:num>
  <w:num w:numId="28">
    <w:abstractNumId w:val="43"/>
  </w:num>
  <w:num w:numId="29">
    <w:abstractNumId w:val="9"/>
  </w:num>
  <w:num w:numId="30">
    <w:abstractNumId w:val="23"/>
  </w:num>
  <w:num w:numId="31">
    <w:abstractNumId w:val="7"/>
  </w:num>
  <w:num w:numId="32">
    <w:abstractNumId w:val="28"/>
  </w:num>
  <w:num w:numId="33">
    <w:abstractNumId w:val="47"/>
  </w:num>
  <w:num w:numId="34">
    <w:abstractNumId w:val="8"/>
  </w:num>
  <w:num w:numId="35">
    <w:abstractNumId w:val="16"/>
  </w:num>
  <w:num w:numId="36">
    <w:abstractNumId w:val="26"/>
  </w:num>
  <w:num w:numId="37">
    <w:abstractNumId w:val="45"/>
  </w:num>
  <w:num w:numId="38">
    <w:abstractNumId w:val="5"/>
  </w:num>
  <w:num w:numId="39">
    <w:abstractNumId w:val="42"/>
  </w:num>
  <w:num w:numId="40">
    <w:abstractNumId w:val="4"/>
  </w:num>
  <w:num w:numId="41">
    <w:abstractNumId w:val="0"/>
  </w:num>
  <w:num w:numId="42">
    <w:abstractNumId w:val="1"/>
  </w:num>
  <w:num w:numId="43">
    <w:abstractNumId w:val="46"/>
  </w:num>
  <w:num w:numId="44">
    <w:abstractNumId w:val="44"/>
  </w:num>
  <w:num w:numId="45">
    <w:abstractNumId w:val="24"/>
  </w:num>
  <w:num w:numId="46">
    <w:abstractNumId w:val="39"/>
  </w:num>
  <w:num w:numId="47">
    <w:abstractNumId w:val="19"/>
  </w:num>
  <w:num w:numId="4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F2"/>
    <w:rsid w:val="00003862"/>
    <w:rsid w:val="0001183A"/>
    <w:rsid w:val="00016625"/>
    <w:rsid w:val="000220DD"/>
    <w:rsid w:val="00022D4C"/>
    <w:rsid w:val="00024355"/>
    <w:rsid w:val="000324DA"/>
    <w:rsid w:val="0003634C"/>
    <w:rsid w:val="00041482"/>
    <w:rsid w:val="00052691"/>
    <w:rsid w:val="00060D6F"/>
    <w:rsid w:val="00072DA4"/>
    <w:rsid w:val="00083889"/>
    <w:rsid w:val="00084099"/>
    <w:rsid w:val="00097AB0"/>
    <w:rsid w:val="000A24B3"/>
    <w:rsid w:val="000B0D67"/>
    <w:rsid w:val="000B4C28"/>
    <w:rsid w:val="000B4EB8"/>
    <w:rsid w:val="000C2DA2"/>
    <w:rsid w:val="000C7ED2"/>
    <w:rsid w:val="000E1BB7"/>
    <w:rsid w:val="000E3F5C"/>
    <w:rsid w:val="000F062B"/>
    <w:rsid w:val="000F7209"/>
    <w:rsid w:val="00103C18"/>
    <w:rsid w:val="00105C4E"/>
    <w:rsid w:val="00111E63"/>
    <w:rsid w:val="00115126"/>
    <w:rsid w:val="00123296"/>
    <w:rsid w:val="001250B5"/>
    <w:rsid w:val="00127422"/>
    <w:rsid w:val="00130D13"/>
    <w:rsid w:val="0013405A"/>
    <w:rsid w:val="00144A7F"/>
    <w:rsid w:val="00163914"/>
    <w:rsid w:val="001834D9"/>
    <w:rsid w:val="00184297"/>
    <w:rsid w:val="00191B35"/>
    <w:rsid w:val="00197808"/>
    <w:rsid w:val="001B143F"/>
    <w:rsid w:val="001B40CE"/>
    <w:rsid w:val="001B45BC"/>
    <w:rsid w:val="001B45F7"/>
    <w:rsid w:val="001D52B8"/>
    <w:rsid w:val="001F10D5"/>
    <w:rsid w:val="001F41B1"/>
    <w:rsid w:val="00201A47"/>
    <w:rsid w:val="002079B6"/>
    <w:rsid w:val="00217C42"/>
    <w:rsid w:val="0022184D"/>
    <w:rsid w:val="002346F7"/>
    <w:rsid w:val="00240818"/>
    <w:rsid w:val="002466BD"/>
    <w:rsid w:val="00251218"/>
    <w:rsid w:val="0025268A"/>
    <w:rsid w:val="00260A70"/>
    <w:rsid w:val="00266789"/>
    <w:rsid w:val="00271136"/>
    <w:rsid w:val="002727A0"/>
    <w:rsid w:val="00285E92"/>
    <w:rsid w:val="0029215F"/>
    <w:rsid w:val="00296E17"/>
    <w:rsid w:val="00296FC2"/>
    <w:rsid w:val="002A1CBF"/>
    <w:rsid w:val="002B04AB"/>
    <w:rsid w:val="002B2156"/>
    <w:rsid w:val="002B6401"/>
    <w:rsid w:val="002C0A6E"/>
    <w:rsid w:val="002C752F"/>
    <w:rsid w:val="002D48CA"/>
    <w:rsid w:val="002E2A10"/>
    <w:rsid w:val="002E4D2C"/>
    <w:rsid w:val="002E4FF3"/>
    <w:rsid w:val="002F07F8"/>
    <w:rsid w:val="002F3816"/>
    <w:rsid w:val="002F500F"/>
    <w:rsid w:val="003101DE"/>
    <w:rsid w:val="00310C96"/>
    <w:rsid w:val="00335022"/>
    <w:rsid w:val="003362CA"/>
    <w:rsid w:val="00354337"/>
    <w:rsid w:val="00367384"/>
    <w:rsid w:val="0038270D"/>
    <w:rsid w:val="003840AE"/>
    <w:rsid w:val="0039179C"/>
    <w:rsid w:val="003A0326"/>
    <w:rsid w:val="003A6F17"/>
    <w:rsid w:val="003C1269"/>
    <w:rsid w:val="003D7AD2"/>
    <w:rsid w:val="003E2239"/>
    <w:rsid w:val="003F34FB"/>
    <w:rsid w:val="004114CF"/>
    <w:rsid w:val="004146A4"/>
    <w:rsid w:val="00437EB3"/>
    <w:rsid w:val="00440329"/>
    <w:rsid w:val="00442EAB"/>
    <w:rsid w:val="00452A6C"/>
    <w:rsid w:val="00466645"/>
    <w:rsid w:val="00470BB3"/>
    <w:rsid w:val="0048051E"/>
    <w:rsid w:val="0048128B"/>
    <w:rsid w:val="0049360B"/>
    <w:rsid w:val="00494833"/>
    <w:rsid w:val="004A5D85"/>
    <w:rsid w:val="004B22FE"/>
    <w:rsid w:val="004C0637"/>
    <w:rsid w:val="004D2606"/>
    <w:rsid w:val="004E2D3E"/>
    <w:rsid w:val="0050079B"/>
    <w:rsid w:val="005045A7"/>
    <w:rsid w:val="00530521"/>
    <w:rsid w:val="00563F9B"/>
    <w:rsid w:val="005803C2"/>
    <w:rsid w:val="005B5B47"/>
    <w:rsid w:val="005C5E06"/>
    <w:rsid w:val="005C78EB"/>
    <w:rsid w:val="005D6D4A"/>
    <w:rsid w:val="005E43FB"/>
    <w:rsid w:val="005E6937"/>
    <w:rsid w:val="005F393C"/>
    <w:rsid w:val="006323A6"/>
    <w:rsid w:val="006351F0"/>
    <w:rsid w:val="0063635D"/>
    <w:rsid w:val="00646F40"/>
    <w:rsid w:val="006507D0"/>
    <w:rsid w:val="006512E2"/>
    <w:rsid w:val="0065773D"/>
    <w:rsid w:val="0067373D"/>
    <w:rsid w:val="0067521B"/>
    <w:rsid w:val="00677A2F"/>
    <w:rsid w:val="00680A61"/>
    <w:rsid w:val="00683CF2"/>
    <w:rsid w:val="0068451E"/>
    <w:rsid w:val="00684FBE"/>
    <w:rsid w:val="00692906"/>
    <w:rsid w:val="006949FE"/>
    <w:rsid w:val="00695B32"/>
    <w:rsid w:val="006A3C3F"/>
    <w:rsid w:val="006A4C73"/>
    <w:rsid w:val="006A5A34"/>
    <w:rsid w:val="006A7A39"/>
    <w:rsid w:val="006B4F6D"/>
    <w:rsid w:val="006C1E98"/>
    <w:rsid w:val="006D1393"/>
    <w:rsid w:val="006D2AA6"/>
    <w:rsid w:val="006D4B19"/>
    <w:rsid w:val="006F7371"/>
    <w:rsid w:val="00701743"/>
    <w:rsid w:val="007047AC"/>
    <w:rsid w:val="00716354"/>
    <w:rsid w:val="00716B1D"/>
    <w:rsid w:val="00726949"/>
    <w:rsid w:val="007325D5"/>
    <w:rsid w:val="00733D2E"/>
    <w:rsid w:val="00736B7C"/>
    <w:rsid w:val="0074333C"/>
    <w:rsid w:val="00745DA8"/>
    <w:rsid w:val="00760029"/>
    <w:rsid w:val="00760B9F"/>
    <w:rsid w:val="00765C15"/>
    <w:rsid w:val="00776384"/>
    <w:rsid w:val="00781250"/>
    <w:rsid w:val="007B0012"/>
    <w:rsid w:val="007B5141"/>
    <w:rsid w:val="007C58F2"/>
    <w:rsid w:val="007D7288"/>
    <w:rsid w:val="00806E0D"/>
    <w:rsid w:val="00814FF6"/>
    <w:rsid w:val="0085172C"/>
    <w:rsid w:val="00853143"/>
    <w:rsid w:val="00862369"/>
    <w:rsid w:val="008636B5"/>
    <w:rsid w:val="008645E4"/>
    <w:rsid w:val="008739CD"/>
    <w:rsid w:val="00881B9C"/>
    <w:rsid w:val="008829AB"/>
    <w:rsid w:val="00884C5D"/>
    <w:rsid w:val="00890A20"/>
    <w:rsid w:val="008955A7"/>
    <w:rsid w:val="008A3E99"/>
    <w:rsid w:val="008A4FD5"/>
    <w:rsid w:val="008B1464"/>
    <w:rsid w:val="008B4197"/>
    <w:rsid w:val="008D3D5D"/>
    <w:rsid w:val="008D457E"/>
    <w:rsid w:val="008D466F"/>
    <w:rsid w:val="008D4FF8"/>
    <w:rsid w:val="008E1ADA"/>
    <w:rsid w:val="008F3B00"/>
    <w:rsid w:val="00902F79"/>
    <w:rsid w:val="00910D5B"/>
    <w:rsid w:val="00921597"/>
    <w:rsid w:val="009376FB"/>
    <w:rsid w:val="00956AC1"/>
    <w:rsid w:val="009570A1"/>
    <w:rsid w:val="0096661D"/>
    <w:rsid w:val="00974052"/>
    <w:rsid w:val="00980993"/>
    <w:rsid w:val="00981060"/>
    <w:rsid w:val="009B3AC5"/>
    <w:rsid w:val="009D62B9"/>
    <w:rsid w:val="009E39A1"/>
    <w:rsid w:val="009E7914"/>
    <w:rsid w:val="009F3D78"/>
    <w:rsid w:val="009F429F"/>
    <w:rsid w:val="009F7C77"/>
    <w:rsid w:val="00A013B9"/>
    <w:rsid w:val="00A03F42"/>
    <w:rsid w:val="00A23D46"/>
    <w:rsid w:val="00A37B1E"/>
    <w:rsid w:val="00A62675"/>
    <w:rsid w:val="00A62DA8"/>
    <w:rsid w:val="00A63B08"/>
    <w:rsid w:val="00A8019B"/>
    <w:rsid w:val="00A815B5"/>
    <w:rsid w:val="00A83FC8"/>
    <w:rsid w:val="00A9132B"/>
    <w:rsid w:val="00A95E48"/>
    <w:rsid w:val="00AA5495"/>
    <w:rsid w:val="00AB1FC3"/>
    <w:rsid w:val="00AB5EA1"/>
    <w:rsid w:val="00AC0E5A"/>
    <w:rsid w:val="00AD3BB9"/>
    <w:rsid w:val="00AD43FF"/>
    <w:rsid w:val="00B06F0E"/>
    <w:rsid w:val="00B21F87"/>
    <w:rsid w:val="00B27925"/>
    <w:rsid w:val="00B31617"/>
    <w:rsid w:val="00B36838"/>
    <w:rsid w:val="00B37A69"/>
    <w:rsid w:val="00B43AAF"/>
    <w:rsid w:val="00B43E7D"/>
    <w:rsid w:val="00B52895"/>
    <w:rsid w:val="00B570EE"/>
    <w:rsid w:val="00B8013F"/>
    <w:rsid w:val="00B869DD"/>
    <w:rsid w:val="00B909A7"/>
    <w:rsid w:val="00B96063"/>
    <w:rsid w:val="00BA1BC2"/>
    <w:rsid w:val="00BA5EF0"/>
    <w:rsid w:val="00BB05B7"/>
    <w:rsid w:val="00BB54A3"/>
    <w:rsid w:val="00BB7849"/>
    <w:rsid w:val="00BC110C"/>
    <w:rsid w:val="00BC1F19"/>
    <w:rsid w:val="00BC77EB"/>
    <w:rsid w:val="00BD27BC"/>
    <w:rsid w:val="00BE1C78"/>
    <w:rsid w:val="00BE2CCA"/>
    <w:rsid w:val="00BF09E3"/>
    <w:rsid w:val="00BF111B"/>
    <w:rsid w:val="00C02157"/>
    <w:rsid w:val="00C06BA1"/>
    <w:rsid w:val="00C21E9C"/>
    <w:rsid w:val="00C2437F"/>
    <w:rsid w:val="00C25D27"/>
    <w:rsid w:val="00C47FC6"/>
    <w:rsid w:val="00C57AFC"/>
    <w:rsid w:val="00C67452"/>
    <w:rsid w:val="00C7095E"/>
    <w:rsid w:val="00C73248"/>
    <w:rsid w:val="00C86C20"/>
    <w:rsid w:val="00C92B36"/>
    <w:rsid w:val="00CC4014"/>
    <w:rsid w:val="00CC43F1"/>
    <w:rsid w:val="00CC5426"/>
    <w:rsid w:val="00CE3770"/>
    <w:rsid w:val="00D045B4"/>
    <w:rsid w:val="00D051EF"/>
    <w:rsid w:val="00D11A47"/>
    <w:rsid w:val="00D14AE9"/>
    <w:rsid w:val="00D36BD1"/>
    <w:rsid w:val="00D91E87"/>
    <w:rsid w:val="00D92DCA"/>
    <w:rsid w:val="00DA0860"/>
    <w:rsid w:val="00DA66A7"/>
    <w:rsid w:val="00DB3A3C"/>
    <w:rsid w:val="00DC02DC"/>
    <w:rsid w:val="00DD1AF2"/>
    <w:rsid w:val="00DD380A"/>
    <w:rsid w:val="00DD3EBE"/>
    <w:rsid w:val="00DD517D"/>
    <w:rsid w:val="00DD73D7"/>
    <w:rsid w:val="00DF64A9"/>
    <w:rsid w:val="00E07B8D"/>
    <w:rsid w:val="00E120A2"/>
    <w:rsid w:val="00E1714A"/>
    <w:rsid w:val="00E202DE"/>
    <w:rsid w:val="00E237CE"/>
    <w:rsid w:val="00E24722"/>
    <w:rsid w:val="00E269E1"/>
    <w:rsid w:val="00E27A2F"/>
    <w:rsid w:val="00E30A7F"/>
    <w:rsid w:val="00E30CB5"/>
    <w:rsid w:val="00E40728"/>
    <w:rsid w:val="00E46D27"/>
    <w:rsid w:val="00E47C78"/>
    <w:rsid w:val="00E51683"/>
    <w:rsid w:val="00E545A2"/>
    <w:rsid w:val="00E70096"/>
    <w:rsid w:val="00E73CBA"/>
    <w:rsid w:val="00E92F90"/>
    <w:rsid w:val="00EB0D19"/>
    <w:rsid w:val="00ED738B"/>
    <w:rsid w:val="00ED7D41"/>
    <w:rsid w:val="00EE15BA"/>
    <w:rsid w:val="00F016FF"/>
    <w:rsid w:val="00F02201"/>
    <w:rsid w:val="00F06FCE"/>
    <w:rsid w:val="00F13B3F"/>
    <w:rsid w:val="00F17083"/>
    <w:rsid w:val="00F22C5A"/>
    <w:rsid w:val="00F370A1"/>
    <w:rsid w:val="00F53AFF"/>
    <w:rsid w:val="00F556F6"/>
    <w:rsid w:val="00F60549"/>
    <w:rsid w:val="00F70A89"/>
    <w:rsid w:val="00F80C60"/>
    <w:rsid w:val="00F926A6"/>
    <w:rsid w:val="00F92DC4"/>
    <w:rsid w:val="00F9311F"/>
    <w:rsid w:val="00F94E2C"/>
    <w:rsid w:val="00FA5720"/>
    <w:rsid w:val="00FA79CF"/>
    <w:rsid w:val="00FB1089"/>
    <w:rsid w:val="00FD2CA3"/>
    <w:rsid w:val="00FF227B"/>
    <w:rsid w:val="00FF5E76"/>
    <w:rsid w:val="00FF7E06"/>
    <w:rsid w:val="00FF7F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454031-69D4-44F1-A847-28BC6A56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C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7808"/>
    <w:pPr>
      <w:tabs>
        <w:tab w:val="center" w:pos="4153"/>
        <w:tab w:val="right" w:pos="8306"/>
      </w:tabs>
      <w:snapToGrid w:val="0"/>
    </w:pPr>
    <w:rPr>
      <w:sz w:val="20"/>
      <w:szCs w:val="20"/>
    </w:rPr>
  </w:style>
  <w:style w:type="character" w:customStyle="1" w:styleId="a4">
    <w:name w:val="頁首 字元"/>
    <w:basedOn w:val="a0"/>
    <w:link w:val="a3"/>
    <w:uiPriority w:val="99"/>
    <w:locked/>
    <w:rsid w:val="00197808"/>
    <w:rPr>
      <w:rFonts w:ascii="Calibri" w:eastAsia="新細明體" w:hAnsi="Calibri" w:cs="Times New Roman"/>
      <w:sz w:val="20"/>
      <w:szCs w:val="20"/>
    </w:rPr>
  </w:style>
  <w:style w:type="paragraph" w:styleId="a5">
    <w:name w:val="footer"/>
    <w:basedOn w:val="a"/>
    <w:link w:val="a6"/>
    <w:uiPriority w:val="99"/>
    <w:rsid w:val="00197808"/>
    <w:pPr>
      <w:tabs>
        <w:tab w:val="center" w:pos="4153"/>
        <w:tab w:val="right" w:pos="8306"/>
      </w:tabs>
      <w:snapToGrid w:val="0"/>
    </w:pPr>
    <w:rPr>
      <w:sz w:val="20"/>
      <w:szCs w:val="20"/>
    </w:rPr>
  </w:style>
  <w:style w:type="character" w:customStyle="1" w:styleId="a6">
    <w:name w:val="頁尾 字元"/>
    <w:basedOn w:val="a0"/>
    <w:link w:val="a5"/>
    <w:uiPriority w:val="99"/>
    <w:locked/>
    <w:rsid w:val="00197808"/>
    <w:rPr>
      <w:rFonts w:ascii="Calibri" w:eastAsia="新細明體" w:hAnsi="Calibri" w:cs="Times New Roman"/>
      <w:sz w:val="20"/>
      <w:szCs w:val="20"/>
    </w:rPr>
  </w:style>
  <w:style w:type="paragraph" w:styleId="a7">
    <w:name w:val="List Paragraph"/>
    <w:basedOn w:val="a"/>
    <w:link w:val="a8"/>
    <w:uiPriority w:val="34"/>
    <w:qFormat/>
    <w:rsid w:val="00197808"/>
    <w:pPr>
      <w:ind w:leftChars="200" w:left="480"/>
    </w:pPr>
    <w:rPr>
      <w:kern w:val="0"/>
      <w:sz w:val="20"/>
      <w:szCs w:val="20"/>
    </w:rPr>
  </w:style>
  <w:style w:type="table" w:styleId="a9">
    <w:name w:val="Table Grid"/>
    <w:basedOn w:val="a1"/>
    <w:uiPriority w:val="39"/>
    <w:rsid w:val="0019780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locked/>
    <w:rsid w:val="00197808"/>
    <w:rPr>
      <w:rFonts w:ascii="Calibri" w:eastAsia="新細明體" w:hAnsi="Calibri"/>
    </w:rPr>
  </w:style>
  <w:style w:type="paragraph" w:customStyle="1" w:styleId="1">
    <w:name w:val="清單段落1"/>
    <w:basedOn w:val="a"/>
    <w:link w:val="ListParagraphChar1"/>
    <w:uiPriority w:val="99"/>
    <w:rsid w:val="00B06F0E"/>
    <w:pPr>
      <w:ind w:leftChars="200" w:left="480"/>
    </w:pPr>
    <w:rPr>
      <w:kern w:val="0"/>
      <w:sz w:val="20"/>
      <w:szCs w:val="20"/>
    </w:rPr>
  </w:style>
  <w:style w:type="character" w:customStyle="1" w:styleId="ListParagraphChar1">
    <w:name w:val="List Paragraph Char1"/>
    <w:link w:val="1"/>
    <w:uiPriority w:val="99"/>
    <w:locked/>
    <w:rsid w:val="00B06F0E"/>
    <w:rPr>
      <w:rFonts w:ascii="Calibri" w:eastAsia="新細明體" w:hAnsi="Calibri"/>
      <w:kern w:val="0"/>
      <w:sz w:val="20"/>
    </w:rPr>
  </w:style>
  <w:style w:type="paragraph" w:customStyle="1" w:styleId="twoger">
    <w:name w:val="twoger"/>
    <w:basedOn w:val="a"/>
    <w:uiPriority w:val="99"/>
    <w:rsid w:val="00B06F0E"/>
    <w:pPr>
      <w:widowControl/>
      <w:spacing w:before="100" w:beforeAutospacing="1" w:after="100" w:afterAutospacing="1"/>
    </w:pPr>
    <w:rPr>
      <w:rFonts w:ascii="新細明體" w:hAnsi="新細明體" w:cs="新細明體"/>
      <w:kern w:val="0"/>
      <w:szCs w:val="24"/>
    </w:rPr>
  </w:style>
  <w:style w:type="paragraph" w:customStyle="1" w:styleId="aa">
    <w:name w:val="a"/>
    <w:basedOn w:val="a"/>
    <w:uiPriority w:val="99"/>
    <w:rsid w:val="00B06F0E"/>
    <w:pPr>
      <w:widowControl/>
      <w:spacing w:before="100" w:beforeAutospacing="1" w:after="100" w:afterAutospacing="1"/>
    </w:pPr>
    <w:rPr>
      <w:rFonts w:ascii="新細明體" w:hAnsi="新細明體" w:cs="新細明體"/>
      <w:kern w:val="0"/>
      <w:szCs w:val="24"/>
    </w:rPr>
  </w:style>
  <w:style w:type="paragraph" w:customStyle="1" w:styleId="11">
    <w:name w:val="清單段落11"/>
    <w:basedOn w:val="a"/>
    <w:link w:val="ListParagraphChar"/>
    <w:uiPriority w:val="99"/>
    <w:rsid w:val="00B06F0E"/>
    <w:pPr>
      <w:ind w:leftChars="200" w:left="480"/>
    </w:pPr>
    <w:rPr>
      <w:kern w:val="0"/>
      <w:sz w:val="20"/>
      <w:szCs w:val="20"/>
    </w:rPr>
  </w:style>
  <w:style w:type="character" w:customStyle="1" w:styleId="ListParagraphChar">
    <w:name w:val="List Paragraph Char"/>
    <w:link w:val="11"/>
    <w:uiPriority w:val="99"/>
    <w:locked/>
    <w:rsid w:val="00B06F0E"/>
    <w:rPr>
      <w:rFonts w:ascii="Calibri" w:eastAsia="新細明體" w:hAnsi="Calibri"/>
      <w:kern w:val="0"/>
      <w:sz w:val="20"/>
    </w:rPr>
  </w:style>
  <w:style w:type="character" w:styleId="ab">
    <w:name w:val="Hyperlink"/>
    <w:basedOn w:val="a0"/>
    <w:uiPriority w:val="99"/>
    <w:rsid w:val="000B4C28"/>
    <w:rPr>
      <w:rFonts w:cs="Times New Roman"/>
      <w:color w:val="0563C1"/>
      <w:u w:val="single"/>
    </w:rPr>
  </w:style>
  <w:style w:type="paragraph" w:styleId="ac">
    <w:name w:val="Balloon Text"/>
    <w:basedOn w:val="a"/>
    <w:link w:val="ad"/>
    <w:uiPriority w:val="99"/>
    <w:semiHidden/>
    <w:rsid w:val="00AD43FF"/>
    <w:rPr>
      <w:rFonts w:ascii="Calibri Light" w:hAnsi="Calibri Light"/>
      <w:sz w:val="18"/>
      <w:szCs w:val="18"/>
    </w:rPr>
  </w:style>
  <w:style w:type="character" w:customStyle="1" w:styleId="ad">
    <w:name w:val="註解方塊文字 字元"/>
    <w:basedOn w:val="a0"/>
    <w:link w:val="ac"/>
    <w:uiPriority w:val="99"/>
    <w:semiHidden/>
    <w:locked/>
    <w:rsid w:val="00AD43FF"/>
    <w:rPr>
      <w:rFonts w:ascii="Calibri Light" w:eastAsia="新細明體" w:hAnsi="Calibri Light" w:cs="Times New Roman"/>
      <w:sz w:val="18"/>
      <w:szCs w:val="18"/>
    </w:rPr>
  </w:style>
  <w:style w:type="character" w:styleId="ae">
    <w:name w:val="annotation reference"/>
    <w:basedOn w:val="a0"/>
    <w:uiPriority w:val="99"/>
    <w:semiHidden/>
    <w:rsid w:val="00C2437F"/>
    <w:rPr>
      <w:rFonts w:cs="Times New Roman"/>
      <w:sz w:val="18"/>
      <w:szCs w:val="18"/>
    </w:rPr>
  </w:style>
  <w:style w:type="paragraph" w:styleId="af">
    <w:name w:val="annotation text"/>
    <w:basedOn w:val="a"/>
    <w:link w:val="af0"/>
    <w:uiPriority w:val="99"/>
    <w:semiHidden/>
    <w:rsid w:val="00C2437F"/>
  </w:style>
  <w:style w:type="character" w:customStyle="1" w:styleId="af0">
    <w:name w:val="註解文字 字元"/>
    <w:basedOn w:val="a0"/>
    <w:link w:val="af"/>
    <w:uiPriority w:val="99"/>
    <w:semiHidden/>
    <w:locked/>
    <w:rsid w:val="00C2437F"/>
    <w:rPr>
      <w:rFonts w:cs="Times New Roman"/>
    </w:rPr>
  </w:style>
  <w:style w:type="paragraph" w:styleId="af1">
    <w:name w:val="annotation subject"/>
    <w:basedOn w:val="af"/>
    <w:next w:val="af"/>
    <w:link w:val="af2"/>
    <w:uiPriority w:val="99"/>
    <w:semiHidden/>
    <w:rsid w:val="00C2437F"/>
    <w:rPr>
      <w:b/>
      <w:bCs/>
    </w:rPr>
  </w:style>
  <w:style w:type="character" w:customStyle="1" w:styleId="af2">
    <w:name w:val="註解主旨 字元"/>
    <w:basedOn w:val="af0"/>
    <w:link w:val="af1"/>
    <w:uiPriority w:val="99"/>
    <w:semiHidden/>
    <w:locked/>
    <w:rsid w:val="00C2437F"/>
    <w:rPr>
      <w:rFonts w:cs="Times New Roman"/>
      <w:b/>
      <w:bCs/>
    </w:rPr>
  </w:style>
  <w:style w:type="paragraph" w:styleId="af3">
    <w:name w:val="No Spacing"/>
    <w:uiPriority w:val="99"/>
    <w:qFormat/>
    <w:rsid w:val="001B143F"/>
    <w:pPr>
      <w:widowControl w:val="0"/>
    </w:pPr>
  </w:style>
  <w:style w:type="character" w:styleId="af4">
    <w:name w:val="page number"/>
    <w:basedOn w:val="a0"/>
    <w:uiPriority w:val="99"/>
    <w:semiHidden/>
    <w:rsid w:val="00E1714A"/>
    <w:rPr>
      <w:rFonts w:cs="Times New Roman"/>
    </w:rPr>
  </w:style>
  <w:style w:type="paragraph" w:styleId="2">
    <w:name w:val="Body Text Indent 2"/>
    <w:basedOn w:val="a"/>
    <w:link w:val="20"/>
    <w:uiPriority w:val="99"/>
    <w:semiHidden/>
    <w:rsid w:val="00E1714A"/>
    <w:pPr>
      <w:tabs>
        <w:tab w:val="left" w:pos="1440"/>
      </w:tabs>
      <w:spacing w:line="440" w:lineRule="exact"/>
      <w:ind w:firstLineChars="800" w:firstLine="2240"/>
    </w:pPr>
    <w:rPr>
      <w:rFonts w:ascii="標楷體" w:eastAsia="標楷體" w:hAnsi="標楷體"/>
      <w:sz w:val="28"/>
      <w:szCs w:val="24"/>
    </w:rPr>
  </w:style>
  <w:style w:type="character" w:customStyle="1" w:styleId="20">
    <w:name w:val="本文縮排 2 字元"/>
    <w:basedOn w:val="a0"/>
    <w:link w:val="2"/>
    <w:uiPriority w:val="99"/>
    <w:semiHidden/>
    <w:locked/>
    <w:rsid w:val="00E1714A"/>
    <w:rPr>
      <w:rFonts w:ascii="標楷體" w:eastAsia="標楷體" w:hAnsi="標楷體" w:cs="Times New Roman"/>
      <w:sz w:val="24"/>
      <w:szCs w:val="24"/>
    </w:rPr>
  </w:style>
  <w:style w:type="paragraph" w:customStyle="1" w:styleId="110">
    <w:name w:val="字元1 字元 字元1 字元"/>
    <w:basedOn w:val="a"/>
    <w:uiPriority w:val="99"/>
    <w:rsid w:val="00E1714A"/>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w:basedOn w:val="a"/>
    <w:uiPriority w:val="99"/>
    <w:rsid w:val="00E1714A"/>
    <w:pPr>
      <w:widowControl/>
      <w:spacing w:after="160" w:line="240" w:lineRule="exact"/>
    </w:pPr>
    <w:rPr>
      <w:rFonts w:ascii="Tahoma" w:hAnsi="Tahoma"/>
      <w:kern w:val="0"/>
      <w:sz w:val="20"/>
      <w:szCs w:val="20"/>
      <w:lang w:eastAsia="en-US"/>
    </w:rPr>
  </w:style>
  <w:style w:type="paragraph" w:styleId="af6">
    <w:name w:val="Body Text"/>
    <w:basedOn w:val="a"/>
    <w:link w:val="af7"/>
    <w:uiPriority w:val="99"/>
    <w:semiHidden/>
    <w:rsid w:val="00E1714A"/>
    <w:pPr>
      <w:spacing w:after="120"/>
    </w:pPr>
    <w:rPr>
      <w:rFonts w:ascii="Times New Roman" w:hAnsi="Times New Roman"/>
      <w:szCs w:val="24"/>
    </w:rPr>
  </w:style>
  <w:style w:type="character" w:customStyle="1" w:styleId="af7">
    <w:name w:val="本文 字元"/>
    <w:basedOn w:val="a0"/>
    <w:link w:val="af6"/>
    <w:uiPriority w:val="99"/>
    <w:semiHidden/>
    <w:locked/>
    <w:rsid w:val="00E171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3480">
      <w:bodyDiv w:val="1"/>
      <w:marLeft w:val="0"/>
      <w:marRight w:val="0"/>
      <w:marTop w:val="0"/>
      <w:marBottom w:val="0"/>
      <w:divBdr>
        <w:top w:val="none" w:sz="0" w:space="0" w:color="auto"/>
        <w:left w:val="none" w:sz="0" w:space="0" w:color="auto"/>
        <w:bottom w:val="none" w:sz="0" w:space="0" w:color="auto"/>
        <w:right w:val="none" w:sz="0" w:space="0" w:color="auto"/>
      </w:divBdr>
    </w:div>
    <w:div w:id="20733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E76C-54A3-4F20-9D47-92B2327B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洪美智</dc:creator>
  <cp:keywords/>
  <dc:description/>
  <cp:lastModifiedBy>呂亭潁</cp:lastModifiedBy>
  <cp:revision>2</cp:revision>
  <dcterms:created xsi:type="dcterms:W3CDTF">2016-04-11T05:57:00Z</dcterms:created>
  <dcterms:modified xsi:type="dcterms:W3CDTF">2016-04-11T05:57:00Z</dcterms:modified>
</cp:coreProperties>
</file>