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6" w:rsidRDefault="00D64825">
      <w:pPr>
        <w:pStyle w:val="Standard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附錄一：評估登錄世界遺產顯著普世價值的十項標準</w:t>
      </w:r>
    </w:p>
    <w:tbl>
      <w:tblPr>
        <w:tblW w:w="904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8217"/>
      </w:tblGrid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82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世界遺產登錄標準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須符合其中一項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表現人類經典創造力的傑作。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Represent a masterpiece of human creative genius.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在某期間或世界某文化圈裡，對建築或技術、不朽的藝術、城鎮規劃或景觀設計的發展，展現人類價值的重要交流。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Exhibit an </w:t>
            </w:r>
            <w:r>
              <w:rPr>
                <w:rFonts w:eastAsia="標楷體"/>
                <w:sz w:val="28"/>
                <w:szCs w:val="28"/>
              </w:rPr>
              <w:t>important interchange of human values, over a span of time or within a cultural area of the world, on developments in architecture or technology, monumental arts, town-planning or landscape design.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呈現文化傳統、現存或已消失的文明，獨特或卓越的證據。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Bear a unique or at least ex</w:t>
            </w:r>
            <w:r>
              <w:rPr>
                <w:rFonts w:eastAsia="標楷體"/>
                <w:sz w:val="28"/>
                <w:szCs w:val="28"/>
              </w:rPr>
              <w:t>ceptional testimony to a cultural tradition or to a civilization which is living or which has disappeared.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呈現人類歷史重要階段的建築類型、建築技術、或景觀上的卓越典範。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Be an outstanding example of a type of building, architectural or technological ensemble or landscape which illust</w:t>
            </w:r>
            <w:r>
              <w:rPr>
                <w:rFonts w:eastAsia="標楷體"/>
                <w:sz w:val="28"/>
                <w:szCs w:val="28"/>
              </w:rPr>
              <w:t>rates (a) significant stage(s) in human history.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代表某一個或數個文化或人類與環境互動的出色範例，包含人類文化的傳統聚落、土地或海洋利用，特別是瀕臨不可逆的改變衝擊之脆弱環境。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Be an outstanding example of a traditional human settlement, land-use, or sea-use which is representative of a culture (or cultures), or </w:t>
            </w:r>
            <w:r>
              <w:rPr>
                <w:rFonts w:eastAsia="標楷體"/>
                <w:sz w:val="28"/>
                <w:szCs w:val="28"/>
              </w:rPr>
              <w:t>human interaction with the environment especially when it has become vulnerable under the impact of irreversible change.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具有顯著普世價值的事件、現存的傳統、理念、信仰、藝術及文學作品，有直接或實質連結的場所。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委員會認為此項準則最好與其他準則結合使用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Be directly or tangibly associated with events or living traditi</w:t>
            </w:r>
            <w:r>
              <w:rPr>
                <w:rFonts w:eastAsia="標楷體"/>
                <w:sz w:val="28"/>
                <w:szCs w:val="28"/>
              </w:rPr>
              <w:t xml:space="preserve">ons, with ideas, or with beliefs, with artistic and literary works of outstanding </w:t>
            </w:r>
            <w:r>
              <w:rPr>
                <w:rFonts w:eastAsia="標楷體"/>
                <w:sz w:val="28"/>
                <w:szCs w:val="28"/>
              </w:rPr>
              <w:lastRenderedPageBreak/>
              <w:t>universal significance. (The Committee considers that this criterion should preferably be used in conjunction with other criteria.)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具有絕妙的自然景色和美學重要性的地區或稀有的自然現象。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Contain sup</w:t>
            </w:r>
            <w:r>
              <w:rPr>
                <w:rFonts w:eastAsia="標楷體"/>
                <w:sz w:val="28"/>
                <w:szCs w:val="28"/>
              </w:rPr>
              <w:t>erlative natural phenomena or areas of exceptional natural beauty and aesthetic importance.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代表地球演化史中重要發展階段的傑出範例，包括生命進化的紀錄、進行中重要的地質演變過程、或具有意義的地貌、地文特徵。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Be outstanding examples representing major stages of earth's history, including the record of life, </w:t>
            </w:r>
            <w:r>
              <w:rPr>
                <w:rFonts w:eastAsia="標楷體"/>
                <w:sz w:val="28"/>
                <w:szCs w:val="28"/>
              </w:rPr>
              <w:t>significant on-going geological processes in the development of landforms, or significant geomorphic or physiographic features.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代表陸地、淡水、沿海和海洋生態系統動植物群演變重要過程的典型範例。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Be outstanding examples representing significant on-going ecological and biological process</w:t>
            </w:r>
            <w:r>
              <w:rPr>
                <w:rFonts w:eastAsia="標楷體"/>
                <w:sz w:val="28"/>
                <w:szCs w:val="28"/>
              </w:rPr>
              <w:t>es in the evolution and development of terrestrial, fresh water, coastal and marine ecosystems and communities of plants and animals.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具有價值的自然和生物多樣性之棲息地，包含名列珍貴價值的瀕危物種。</w:t>
            </w:r>
          </w:p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Contain the most important and significant natural habitats for in-situ conservation </w:t>
            </w:r>
            <w:r>
              <w:rPr>
                <w:rFonts w:eastAsia="標楷體"/>
                <w:sz w:val="28"/>
                <w:szCs w:val="28"/>
              </w:rPr>
              <w:t>of biological diversity, including those containing threatened species of Outstanding Universal Value from the point of view of science or conservation.</w:t>
            </w:r>
          </w:p>
        </w:tc>
      </w:tr>
    </w:tbl>
    <w:p w:rsidR="00870666" w:rsidRDefault="00D64825">
      <w:pPr>
        <w:pStyle w:val="Standard"/>
        <w:widowControl/>
        <w:spacing w:line="480" w:lineRule="exact"/>
        <w:ind w:left="285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>
        <w:rPr>
          <w:rFonts w:ascii="標楷體" w:eastAsia="標楷體" w:hAnsi="標楷體" w:cs="標楷體"/>
          <w:sz w:val="28"/>
          <w:szCs w:val="28"/>
        </w:rPr>
        <w:t>必須同時符合完整性與真實性條件，且須有適當的保護、管理系統以確保遺產受到保衛，該遺產才會被視為具有顯著普世價值。</w:t>
      </w:r>
    </w:p>
    <w:p w:rsidR="00870666" w:rsidRDefault="00D64825">
      <w:pPr>
        <w:pStyle w:val="Standard"/>
        <w:pageBreakBefore/>
        <w:widowControl/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附錄二：</w:t>
      </w:r>
      <w:r>
        <w:rPr>
          <w:rFonts w:ascii="Garamond" w:eastAsia="標楷體" w:hAnsi="Garamond" w:cs="Garamond"/>
          <w:b/>
          <w:sz w:val="28"/>
          <w:szCs w:val="28"/>
        </w:rPr>
        <w:t>文化部臺灣世界遺產潛力點提報表</w:t>
      </w:r>
    </w:p>
    <w:tbl>
      <w:tblPr>
        <w:tblW w:w="9465" w:type="dxa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275"/>
        <w:gridCol w:w="1380"/>
        <w:gridCol w:w="1020"/>
        <w:gridCol w:w="3870"/>
      </w:tblGrid>
      <w:tr w:rsidR="0087066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465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ascii="Garamond" w:eastAsia="標楷體" w:hAnsi="Garamond" w:cs="Garamond"/>
                <w:b/>
                <w:sz w:val="28"/>
                <w:szCs w:val="28"/>
              </w:rPr>
            </w:pPr>
            <w:r>
              <w:rPr>
                <w:rFonts w:ascii="Garamond" w:eastAsia="標楷體" w:hAnsi="Garamond" w:cs="Garamond"/>
                <w:b/>
                <w:sz w:val="28"/>
                <w:szCs w:val="28"/>
              </w:rPr>
              <w:t>文化部臺灣世界遺產潛力點提報表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提報案件名稱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870666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提報遺產類別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文化遺產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自然遺產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複合遺產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提報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稱：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92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4825"/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代表人：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870666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92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4825"/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話：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傳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真：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870666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92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64825"/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址：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提報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單位聯絡人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870666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e-mail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合作單位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870666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遺產基本資料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1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一、遺產確認</w:t>
            </w:r>
          </w:p>
        </w:tc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ind w:left="460" w:hanging="46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遺產名稱、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地理座標、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文字描述遺產物的範圍、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地圖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1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二、遺產描述</w:t>
            </w:r>
          </w:p>
        </w:tc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遺產物描述、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歷史與發展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1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三、登錄理由</w:t>
            </w:r>
          </w:p>
        </w:tc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ind w:left="463" w:hanging="46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依據標準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真實性與完整性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比較分析、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顯著普世價值說明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3195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ind w:left="536" w:hanging="536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四、保存維護狀況及影響遺產因素</w:t>
            </w:r>
          </w:p>
        </w:tc>
        <w:tc>
          <w:tcPr>
            <w:tcW w:w="6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保存現況、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影響遺產物的因素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檢附資料檢核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ind w:left="478" w:hanging="478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潛力點範圍內相關法定身分證明。</w:t>
            </w:r>
            <w:r>
              <w:rPr>
                <w:rFonts w:ascii="標楷體" w:eastAsia="標楷體" w:hAnsi="標楷體" w:cs="標楷體"/>
                <w:color w:val="000000"/>
                <w:szCs w:val="26"/>
              </w:rPr>
              <w:t>（須含有依文化資產保存法、國家公園法或森林法、野生動物保護法等法令規定，獲得法定身分或受到相關機制保護之區域）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ind w:left="619" w:hanging="619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□2.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依世界遺產公約執行作業指南完成遺產提報表中第一至第四項「遺產確認」、「遺產描述」、「登錄理由」、「保存維護狀況及影響遺產因素」之遺產基本資料。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潛力點保護現況、管理辦法、監測、災害防救措施及協調機制等書面報告。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□4.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潛力點範圍跨縣市者，相關機關（構）分工及協調證明文件。</w:t>
            </w:r>
          </w:p>
        </w:tc>
      </w:tr>
      <w:tr w:rsidR="0087066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65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666" w:rsidRDefault="00D64825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□5.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現勘紀錄、說明會或公聽會會議紀錄及其他相關資料。</w:t>
            </w:r>
          </w:p>
        </w:tc>
      </w:tr>
    </w:tbl>
    <w:p w:rsidR="00870666" w:rsidRDefault="00D64825">
      <w:pPr>
        <w:pStyle w:val="Standard"/>
        <w:spacing w:line="480" w:lineRule="exact"/>
        <w:rPr>
          <w:rFonts w:eastAsia="Times New Roman"/>
          <w:lang w:val="zh-TW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-89640</wp:posOffset>
                </wp:positionH>
                <wp:positionV relativeFrom="paragraph">
                  <wp:posOffset>91440</wp:posOffset>
                </wp:positionV>
                <wp:extent cx="5436720" cy="335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335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70666" w:rsidRDefault="00D6482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Cs w:val="26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cs="標楷體"/>
                                <w:szCs w:val="26"/>
                              </w:rPr>
                              <w:t>表格欄位請依需求自行調整及編製頁碼，以利索引對照。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7.05pt;margin-top:7.2pt;width:428.1pt;height:26.4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" filled="f" stroked="f">
                <v:textbox inset="2.56mm,1.29mm,2.56mm,1.29mm">
                  <w:txbxContent>
                    <w:p w:rsidR="00870666" w:rsidRDefault="00D64825">
                      <w:pPr>
                        <w:pStyle w:val="Standard"/>
                        <w:rPr>
                          <w:rFonts w:ascii="標楷體" w:eastAsia="標楷體" w:hAnsi="標楷體" w:cs="標楷體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Cs w:val="26"/>
                        </w:rPr>
                        <w:t>★</w:t>
                      </w:r>
                      <w:r>
                        <w:rPr>
                          <w:rFonts w:ascii="標楷體" w:eastAsia="標楷體" w:hAnsi="標楷體" w:cs="標楷體"/>
                          <w:szCs w:val="26"/>
                        </w:rPr>
                        <w:t>表格欄位請依需求自行調整及編製頁碼，以利索引對照。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066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25" w:rsidRDefault="00D64825">
      <w:r>
        <w:separator/>
      </w:r>
    </w:p>
  </w:endnote>
  <w:endnote w:type="continuationSeparator" w:id="0">
    <w:p w:rsidR="00D64825" w:rsidRDefault="00D6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80" w:rsidRDefault="00D6482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740C2">
      <w:rPr>
        <w:noProof/>
      </w:rPr>
      <w:t>1</w:t>
    </w:r>
    <w:r>
      <w:fldChar w:fldCharType="end"/>
    </w:r>
  </w:p>
  <w:p w:rsidR="00D51480" w:rsidRDefault="00D648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25" w:rsidRDefault="00D64825">
      <w:r>
        <w:rPr>
          <w:color w:val="000000"/>
        </w:rPr>
        <w:separator/>
      </w:r>
    </w:p>
  </w:footnote>
  <w:footnote w:type="continuationSeparator" w:id="0">
    <w:p w:rsidR="00D64825" w:rsidRDefault="00D6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80" w:rsidRDefault="00D6482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384"/>
    <w:multiLevelType w:val="multilevel"/>
    <w:tmpl w:val="C5DE88F2"/>
    <w:styleLink w:val="WW8Num3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93163"/>
    <w:multiLevelType w:val="multilevel"/>
    <w:tmpl w:val="B18A87AE"/>
    <w:styleLink w:val="WW8Num13"/>
    <w:lvl w:ilvl="0">
      <w:start w:val="1"/>
      <w:numFmt w:val="japaneseCounting"/>
      <w:lvlText w:val="%1、"/>
      <w:lvlJc w:val="left"/>
      <w:pPr>
        <w:ind w:left="425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310E3"/>
    <w:multiLevelType w:val="multilevel"/>
    <w:tmpl w:val="EF9276F4"/>
    <w:styleLink w:val="WW8Num2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9323DB"/>
    <w:multiLevelType w:val="multilevel"/>
    <w:tmpl w:val="7D00E4C6"/>
    <w:styleLink w:val="WW8Num1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117D11EE"/>
    <w:multiLevelType w:val="multilevel"/>
    <w:tmpl w:val="1D40872A"/>
    <w:styleLink w:val="WW8Num1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  <w:bCs/>
        <w:sz w:val="28"/>
        <w:szCs w:val="28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90D7E"/>
    <w:multiLevelType w:val="multilevel"/>
    <w:tmpl w:val="8A1A717E"/>
    <w:styleLink w:val="WW8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B6C6A"/>
    <w:multiLevelType w:val="multilevel"/>
    <w:tmpl w:val="BCA202E6"/>
    <w:styleLink w:val="WW8Num1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DA7B05"/>
    <w:multiLevelType w:val="multilevel"/>
    <w:tmpl w:val="69348FD8"/>
    <w:styleLink w:val="WW8Num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55C92"/>
    <w:multiLevelType w:val="multilevel"/>
    <w:tmpl w:val="4FC47D6A"/>
    <w:styleLink w:val="WW8Num5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標楷體"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1061A9"/>
    <w:multiLevelType w:val="multilevel"/>
    <w:tmpl w:val="C5BC3CDA"/>
    <w:styleLink w:val="WW8Num17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127E7E"/>
    <w:multiLevelType w:val="multilevel"/>
    <w:tmpl w:val="156C2FEE"/>
    <w:styleLink w:val="WW8Num15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eastAsia="標楷體"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D729B2"/>
    <w:multiLevelType w:val="multilevel"/>
    <w:tmpl w:val="AB4C1C52"/>
    <w:styleLink w:val="WW8Num8"/>
    <w:lvl w:ilvl="0">
      <w:start w:val="1"/>
      <w:numFmt w:val="japaneseCounting"/>
      <w:lvlText w:val="（%1）"/>
      <w:lvlJc w:val="left"/>
      <w:pPr>
        <w:ind w:left="480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E27FC"/>
    <w:multiLevelType w:val="multilevel"/>
    <w:tmpl w:val="2CC83AA4"/>
    <w:styleLink w:val="WW8Num19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5B50D1"/>
    <w:multiLevelType w:val="multilevel"/>
    <w:tmpl w:val="347E119E"/>
    <w:styleLink w:val="WW8Num9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BA781D"/>
    <w:multiLevelType w:val="multilevel"/>
    <w:tmpl w:val="7A0487B4"/>
    <w:styleLink w:val="WW8Num18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標楷體"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D27F24"/>
    <w:multiLevelType w:val="multilevel"/>
    <w:tmpl w:val="DBC478AA"/>
    <w:styleLink w:val="WW8Num14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EE4467"/>
    <w:multiLevelType w:val="multilevel"/>
    <w:tmpl w:val="DF08DCC4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8D799F"/>
    <w:multiLevelType w:val="multilevel"/>
    <w:tmpl w:val="5AF84E8E"/>
    <w:styleLink w:val="WW8Num1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304494"/>
    <w:multiLevelType w:val="multilevel"/>
    <w:tmpl w:val="6464B6A2"/>
    <w:styleLink w:val="WW8Num6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066FDF"/>
    <w:multiLevelType w:val="multilevel"/>
    <w:tmpl w:val="01A8E226"/>
    <w:styleLink w:val="WW8Num21"/>
    <w:lvl w:ilvl="0">
      <w:start w:val="1"/>
      <w:numFmt w:val="japaneseCounting"/>
      <w:lvlText w:val="(%1)"/>
      <w:lvlJc w:val="left"/>
      <w:pPr>
        <w:ind w:left="960" w:hanging="480"/>
      </w:pPr>
      <w:rPr>
        <w:color w:val="C00000"/>
        <w:u w:val="single"/>
      </w:r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F6F0A89"/>
    <w:multiLevelType w:val="multilevel"/>
    <w:tmpl w:val="99E46588"/>
    <w:styleLink w:val="WW8Num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20"/>
  </w:num>
  <w:num w:numId="8">
    <w:abstractNumId w:val="11"/>
  </w:num>
  <w:num w:numId="9">
    <w:abstractNumId w:val="13"/>
  </w:num>
  <w:num w:numId="10">
    <w:abstractNumId w:val="4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  <w:num w:numId="18">
    <w:abstractNumId w:val="14"/>
  </w:num>
  <w:num w:numId="19">
    <w:abstractNumId w:val="12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0666"/>
    <w:rsid w:val="002740C2"/>
    <w:rsid w:val="00870666"/>
    <w:rsid w:val="00D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7F5BE-197E-4676-9C2C-FF2005F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  <w:rPr>
      <w:rFonts w:ascii="標楷體" w:eastAsia="標楷體" w:hAnsi="標楷體"/>
      <w:sz w:val="3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1">
    <w:name w:val="表格內文1"/>
    <w:pPr>
      <w:widowControl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標楷體" w:eastAsia="標楷體" w:hAnsi="標楷體" w:cs="標楷體"/>
      <w:bCs/>
      <w:sz w:val="28"/>
      <w:szCs w:val="28"/>
    </w:rPr>
  </w:style>
  <w:style w:type="character" w:customStyle="1" w:styleId="WW8Num1z2">
    <w:name w:val="WW8Num1z2"/>
    <w:rPr>
      <w:rFonts w:ascii="新細明體, PMingLiU" w:eastAsia="新細明體, PMingLiU" w:hAnsi="新細明體, PMingLiU" w:cs="新細明體, PMingLiU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標楷體" w:eastAsia="標楷體" w:hAnsi="標楷體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標楷體" w:eastAsia="標楷體" w:hAnsi="標楷體" w:cs="Times New Roman"/>
      <w:bCs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bCs/>
      <w:sz w:val="28"/>
      <w:szCs w:val="28"/>
    </w:rPr>
  </w:style>
  <w:style w:type="character" w:customStyle="1" w:styleId="WW8Num5z1">
    <w:name w:val="WW8Num5z1"/>
    <w:rPr>
      <w:rFonts w:ascii="標楷體" w:eastAsia="標楷體" w:hAnsi="標楷體" w:cs="標楷體"/>
      <w:bCs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bCs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標楷體" w:eastAsia="標楷體" w:hAnsi="標楷體" w:cs="標楷體"/>
      <w:bCs/>
      <w:sz w:val="28"/>
      <w:szCs w:val="28"/>
    </w:rPr>
  </w:style>
  <w:style w:type="character" w:customStyle="1" w:styleId="WW8Num10z2">
    <w:name w:val="WW8Num10z2"/>
    <w:rPr>
      <w:rFonts w:ascii="標楷體" w:eastAsia="標楷體" w:hAnsi="標楷體" w:cs="標楷體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  <w:rPr>
      <w:rFonts w:ascii="新細明體, PMingLiU" w:eastAsia="新細明體, PMingLiU" w:hAnsi="新細明體, PMingLiU" w:cs="新細明體, PMingLiU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  <w:bCs/>
      <w:sz w:val="28"/>
      <w:szCs w:val="28"/>
    </w:rPr>
  </w:style>
  <w:style w:type="character" w:customStyle="1" w:styleId="WW8Num15z2">
    <w:name w:val="WW8Num15z2"/>
    <w:rPr>
      <w:rFonts w:ascii="新細明體, PMingLiU" w:eastAsia="新細明體, PMingLiU" w:hAnsi="新細明體, PMingLiU" w:cs="新細明體, PMingLiU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  <w:rPr>
      <w:rFonts w:ascii="新細明體, PMingLiU" w:eastAsia="新細明體, PMingLiU" w:hAnsi="新細明體, PMingLiU" w:cs="新細明體, PMingLiU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標楷體"/>
      <w:bCs/>
      <w:sz w:val="28"/>
      <w:szCs w:val="28"/>
    </w:rPr>
  </w:style>
  <w:style w:type="character" w:customStyle="1" w:styleId="WW8Num18z1">
    <w:name w:val="WW8Num18z1"/>
    <w:rPr>
      <w:rFonts w:ascii="標楷體" w:eastAsia="標楷體" w:hAnsi="標楷體" w:cs="標楷體"/>
      <w:bCs/>
      <w:sz w:val="28"/>
      <w:szCs w:val="2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2">
    <w:name w:val="WW8Num20z2"/>
    <w:rPr>
      <w:rFonts w:ascii="新細明體, PMingLiU" w:eastAsia="新細明體, PMingLiU" w:hAnsi="新細明體, PMingLiU" w:cs="新細明體, PMingLiU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C00000"/>
      <w:u w:val="singl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內政部臺灣城鄉風貌整體規劃示範計畫執行要點</dc:title>
  <dc:creator>100034</dc:creator>
  <cp:lastModifiedBy>施惠蘋</cp:lastModifiedBy>
  <cp:revision>2</cp:revision>
  <cp:lastPrinted>2022-10-13T11:01:00Z</cp:lastPrinted>
  <dcterms:created xsi:type="dcterms:W3CDTF">2022-10-21T10:31:00Z</dcterms:created>
  <dcterms:modified xsi:type="dcterms:W3CDTF">2022-10-21T10:31:00Z</dcterms:modified>
</cp:coreProperties>
</file>