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87" w:rsidRPr="00E27187" w:rsidRDefault="00E27187" w:rsidP="00E27187">
      <w:pPr>
        <w:widowControl/>
        <w:spacing w:before="156" w:after="156" w:line="500" w:lineRule="exact"/>
        <w:rPr>
          <w:rFonts w:ascii="Times New Roman" w:eastAsia="新細明體, PMingLiU" w:hAnsi="Times New Roman" w:cs="Times New Roman"/>
          <w:color w:val="000000"/>
          <w:lang w:bidi="ar-SA"/>
        </w:rPr>
      </w:pPr>
      <w:r w:rsidRPr="00E27187">
        <w:rPr>
          <w:rFonts w:ascii="標楷體" w:eastAsia="標楷體" w:hAnsi="標楷體" w:cs="標楷體"/>
          <w:b/>
          <w:color w:val="000000"/>
          <w:sz w:val="28"/>
          <w:szCs w:val="28"/>
          <w:lang w:bidi="ar-SA"/>
        </w:rPr>
        <w:t>附錄</w:t>
      </w:r>
      <w:proofErr w:type="gramStart"/>
      <w:r w:rsidRPr="00E27187">
        <w:rPr>
          <w:rFonts w:ascii="標楷體" w:eastAsia="標楷體" w:hAnsi="標楷體" w:cs="標楷體"/>
          <w:b/>
          <w:color w:val="000000"/>
          <w:sz w:val="28"/>
          <w:szCs w:val="28"/>
          <w:lang w:bidi="ar-SA"/>
        </w:rPr>
        <w:t>一</w:t>
      </w:r>
      <w:proofErr w:type="gramEnd"/>
      <w:r w:rsidRPr="00E27187">
        <w:rPr>
          <w:rFonts w:ascii="標楷體" w:eastAsia="標楷體" w:hAnsi="標楷體" w:cs="標楷體"/>
          <w:b/>
          <w:color w:val="000000"/>
          <w:sz w:val="28"/>
          <w:szCs w:val="28"/>
          <w:lang w:bidi="ar-SA"/>
        </w:rPr>
        <w:t>：</w:t>
      </w:r>
      <w:r w:rsidRPr="00E2718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bidi="ar-SA"/>
        </w:rPr>
        <w:t>非物質文化遺產登錄標準</w:t>
      </w:r>
      <w:r w:rsidRPr="00E2718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bidi="ar-SA"/>
        </w:rPr>
        <w:t>(</w:t>
      </w:r>
      <w:r w:rsidRPr="00E2718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bidi="ar-SA"/>
        </w:rPr>
        <w:t>須符合所有各項標準</w:t>
      </w:r>
      <w:r w:rsidRPr="00E27187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lang w:bidi="ar-SA"/>
        </w:rPr>
        <w:t>)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8240"/>
      </w:tblGrid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82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急需保護的非物質文化遺產名錄列入標準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U.1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該遺產項目屬於公約第二條定義的非物質文化遺產。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U.2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新細明體, PMingLiU" w:hAnsi="Times New Roman" w:cs="Times New Roman"/>
                <w:color w:val="000000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儘管相關社區、群體，或有關個人和締約國做出了努力，但該遺產項目的</w:t>
            </w:r>
            <w:r w:rsidRPr="00E27187">
              <w:rPr>
                <w:rFonts w:ascii="Segoe UI Symbol" w:eastAsia="標楷體" w:hAnsi="Segoe UI Symbol" w:cs="Segoe UI Symbol"/>
                <w:color w:val="000000"/>
                <w:sz w:val="28"/>
                <w:szCs w:val="28"/>
                <w:lang w:bidi="ar-SA"/>
              </w:rPr>
              <w:t>存</w:t>
            </w: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續力仍然受到威脅，因此急需保護；或者該遺產項目面臨嚴重威脅，若</w:t>
            </w:r>
            <w:proofErr w:type="gramStart"/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不</w:t>
            </w:r>
            <w:proofErr w:type="gramEnd"/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立即保護，將難以為繼，因此特別急需保護。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U.3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制訂保護計劃，使相關社區、群體或有關個人能夠繼續實踐和傳承該遺產項目。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U.4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F440D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該遺產項目的申報得到相關社區、群體或有關個人盡可能廣泛的參與，尊重其意願，並經其事先知情同意。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U.5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F440D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根據公約第十一條和第十二條，該遺產項目已列入申報締約國境內非物質文化遺產的某一清單。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U.6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F440D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根據公約第十七條第三款，在極為緊急的情況下，經與有關締約國充分協商，將該遺產項目列入本名錄。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新細明體, PMingLiU" w:hAnsi="Times New Roman" w:cs="Times New Roman"/>
                <w:color w:val="000000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bidi="ar-SA"/>
              </w:rPr>
              <w:t>人類非物質文化遺產代表作名錄列入</w:t>
            </w: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標準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R.1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該遺產項目屬於公約第二條定義的非物質文化遺產。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R.2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將該遺產項目列入名錄，有助於確保非物質文化遺產的可見度，提高對其重要意義的認識，促進對話，從而體現世界文化多樣性，並有助於見證人類的創造力。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R.3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制訂的保護措施對該遺產項目可起到保護和推廣作用。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R.4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F440D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該遺產項目的申報得到相關社區、群體或有關個人盡可能廣泛的參與，尊重其意願，且經其事先知情並同意。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R.5</w:t>
            </w:r>
          </w:p>
        </w:tc>
        <w:tc>
          <w:tcPr>
            <w:tcW w:w="82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F440DF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根據公約第十一條和第十二條，該遺產項目已列入申報締約國</w:t>
            </w:r>
            <w:bookmarkStart w:id="0" w:name="_GoBack"/>
            <w:bookmarkEnd w:id="0"/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境內非物質文化遺產的某一清單。</w:t>
            </w:r>
          </w:p>
        </w:tc>
      </w:tr>
    </w:tbl>
    <w:p w:rsidR="00E27187" w:rsidRPr="00E27187" w:rsidRDefault="00E27187" w:rsidP="00E27187">
      <w:pPr>
        <w:rPr>
          <w:rFonts w:ascii="Times New Roman" w:eastAsia="新細明體, PMingLiU" w:hAnsi="Times New Roman" w:cs="Times New Roman"/>
          <w:color w:val="000000"/>
          <w:lang w:bidi="ar-SA"/>
        </w:rPr>
      </w:pPr>
    </w:p>
    <w:p w:rsidR="00E27187" w:rsidRPr="00E27187" w:rsidRDefault="00E27187" w:rsidP="00E27187">
      <w:pPr>
        <w:pageBreakBefore/>
        <w:rPr>
          <w:rFonts w:ascii="Times New Roman" w:eastAsia="新細明體, PMingLiU" w:hAnsi="Times New Roman" w:cs="Times New Roman"/>
          <w:color w:val="000000"/>
          <w:lang w:bidi="ar-SA"/>
        </w:rPr>
      </w:pPr>
    </w:p>
    <w:tbl>
      <w:tblPr>
        <w:tblW w:w="904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8217"/>
      </w:tblGrid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項次</w:t>
            </w:r>
          </w:p>
        </w:tc>
        <w:tc>
          <w:tcPr>
            <w:tcW w:w="821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新細明體, PMingLiU" w:hAnsi="Times New Roman" w:cs="Times New Roman"/>
                <w:color w:val="000000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bidi="ar-SA"/>
              </w:rPr>
              <w:t>優秀保護實踐名錄列入</w:t>
            </w: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標準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P1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該實踐符合公約第二條第三款定義的保護措施。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P2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該實踐努力提升地區、區域或國際的非物質文化遺產保護協作。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P3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該實踐反映公約的原則和目標。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P4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該實踐已證明有助於非物質文化遺產的可能性，若尚未完成，可以合理預期它將有重大貢獻。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P5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該實踐在有關社區、團體、個人自由、事先知情同意的狀況下參與執行。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P6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該實踐視情況可成為地區、區域或國際的典範。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P7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若該實踐被選定，有關締約國、機構、社區、團體或個人願意合作傳播。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P8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該實踐的成果可以被檢驗、評估。</w:t>
            </w:r>
          </w:p>
        </w:tc>
      </w:tr>
      <w:tr w:rsidR="00E27187" w:rsidRPr="00E27187" w:rsidTr="000850B7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P9</w:t>
            </w:r>
          </w:p>
        </w:tc>
        <w:tc>
          <w:tcPr>
            <w:tcW w:w="821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87" w:rsidRPr="00E27187" w:rsidRDefault="00E27187" w:rsidP="00E27187">
            <w:pPr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E2718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該實踐適用於發展中國家。</w:t>
            </w:r>
          </w:p>
        </w:tc>
      </w:tr>
    </w:tbl>
    <w:p w:rsidR="00E27187" w:rsidRPr="00E27187" w:rsidRDefault="00E27187" w:rsidP="00E27187">
      <w:pPr>
        <w:widowControl/>
        <w:rPr>
          <w:rFonts w:ascii="Times New Roman" w:eastAsia="新細明體, PMingLiU" w:hAnsi="Times New Roman" w:cs="Times New Roman"/>
          <w:color w:val="000000"/>
          <w:lang w:bidi="ar-SA"/>
        </w:rPr>
      </w:pP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  <w:r w:rsidRPr="00E27187">
        <w:rPr>
          <w:rFonts w:ascii="標楷體" w:eastAsia="標楷體" w:hAnsi="標楷體" w:cs="標楷體"/>
          <w:color w:val="000000"/>
          <w:sz w:val="28"/>
          <w:szCs w:val="28"/>
          <w:lang w:bidi="ar-SA"/>
        </w:rPr>
        <w:t>本表格所稱公約係指《保護非物質文化遺產公約》。</w:t>
      </w: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</w:p>
    <w:p w:rsidR="00E27187" w:rsidRPr="00E27187" w:rsidRDefault="00E27187" w:rsidP="00E27187">
      <w:pPr>
        <w:widowControl/>
        <w:rPr>
          <w:rFonts w:ascii="標楷體" w:eastAsia="標楷體" w:hAnsi="標楷體" w:cs="標楷體"/>
          <w:color w:val="000000"/>
          <w:sz w:val="28"/>
          <w:szCs w:val="28"/>
          <w:lang w:bidi="ar-SA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E27187" w:rsidRP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 w:hint="eastAsia"/>
          <w:b/>
          <w:color w:val="000000"/>
          <w:sz w:val="28"/>
          <w:szCs w:val="28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</w:p>
    <w:p w:rsidR="003145BC" w:rsidRDefault="00692852">
      <w:pPr>
        <w:pStyle w:val="Standard"/>
        <w:widowControl/>
        <w:spacing w:before="156" w:after="156" w:line="500" w:lineRule="exact"/>
        <w:rPr>
          <w:rFonts w:ascii="Garamond" w:eastAsia="標楷體" w:hAnsi="Garamond" w:cs="Garamond"/>
          <w:b/>
          <w:color w:val="000000"/>
          <w:sz w:val="28"/>
          <w:szCs w:val="28"/>
        </w:rPr>
      </w:pPr>
      <w:r>
        <w:rPr>
          <w:rFonts w:ascii="Garamond" w:eastAsia="標楷體" w:hAnsi="Garamond" w:cs="Garamond"/>
          <w:b/>
          <w:color w:val="000000"/>
          <w:sz w:val="28"/>
          <w:szCs w:val="28"/>
        </w:rPr>
        <w:lastRenderedPageBreak/>
        <w:t>附錄二：</w:t>
      </w:r>
      <w:r>
        <w:rPr>
          <w:rFonts w:ascii="Garamond" w:eastAsia="標楷體" w:hAnsi="Garamond" w:cs="Garamond"/>
          <w:b/>
          <w:color w:val="000000"/>
          <w:sz w:val="28"/>
          <w:szCs w:val="28"/>
        </w:rPr>
        <w:t>文化部臺灣非物質文化遺產潛力名錄提報表</w:t>
      </w: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1276"/>
        <w:gridCol w:w="1371"/>
        <w:gridCol w:w="1028"/>
        <w:gridCol w:w="3706"/>
      </w:tblGrid>
      <w:tr w:rsidR="003145BC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321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Garamond" w:eastAsia="標楷體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標楷體" w:hAnsi="Garamond" w:cs="Garamond"/>
                <w:b/>
                <w:color w:val="000000"/>
                <w:sz w:val="28"/>
                <w:szCs w:val="28"/>
              </w:rPr>
              <w:t>文化部臺灣非物質文化遺產潛力名錄提報表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19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提報名稱</w:t>
            </w:r>
          </w:p>
        </w:tc>
        <w:tc>
          <w:tcPr>
            <w:tcW w:w="7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3145BC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9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提報類別</w:t>
            </w:r>
          </w:p>
        </w:tc>
        <w:tc>
          <w:tcPr>
            <w:tcW w:w="7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口述傳統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傳統表演藝術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民俗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傳統知識與實踐</w:t>
            </w:r>
          </w:p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□5.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傳統工藝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40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提報單位</w:t>
            </w:r>
          </w:p>
        </w:tc>
        <w:tc>
          <w:tcPr>
            <w:tcW w:w="7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名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稱：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84"/>
          <w:jc w:val="center"/>
        </w:trPr>
        <w:tc>
          <w:tcPr>
            <w:tcW w:w="194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852"/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代表人：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3145BC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94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852"/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話：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傳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真：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3145BC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1940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92852"/>
        </w:tc>
        <w:tc>
          <w:tcPr>
            <w:tcW w:w="7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 w:val="26"/>
                <w:szCs w:val="26"/>
              </w:rPr>
              <w:t>址：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提報單位聯絡人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3145BC">
            <w:pPr>
              <w:pStyle w:val="Standard"/>
              <w:snapToGrid w:val="0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電話：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e-mail</w:t>
            </w:r>
            <w:r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356"/>
          <w:jc w:val="center"/>
        </w:trPr>
        <w:tc>
          <w:tcPr>
            <w:tcW w:w="194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合作單位</w:t>
            </w:r>
          </w:p>
        </w:tc>
        <w:tc>
          <w:tcPr>
            <w:tcW w:w="7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3145BC">
            <w:pPr>
              <w:pStyle w:val="Standard"/>
              <w:snapToGrid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遺產基本資料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一、非物質文化遺產確認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3E" w:rsidRDefault="00692852">
            <w:pPr>
              <w:pStyle w:val="Standard"/>
              <w:spacing w:line="480" w:lineRule="exact"/>
              <w:ind w:left="2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項目名稱</w:t>
            </w:r>
          </w:p>
          <w:p w:rsidR="0084313E" w:rsidRDefault="00692852">
            <w:pPr>
              <w:pStyle w:val="Standard"/>
              <w:spacing w:line="480" w:lineRule="exact"/>
              <w:ind w:left="2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相關社群、團體或個人之名稱</w:t>
            </w:r>
          </w:p>
          <w:p w:rsidR="0084313E" w:rsidRDefault="00692852">
            <w:pPr>
              <w:pStyle w:val="Standard"/>
              <w:spacing w:line="480" w:lineRule="exact"/>
              <w:ind w:left="2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項目的地理位置與範圍</w:t>
            </w:r>
          </w:p>
          <w:p w:rsidR="0084313E" w:rsidRDefault="00692852">
            <w:pPr>
              <w:pStyle w:val="Standard"/>
              <w:spacing w:line="480" w:lineRule="exact"/>
              <w:ind w:left="2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書信聯絡人</w:t>
            </w:r>
          </w:p>
          <w:p w:rsidR="003145BC" w:rsidRDefault="00692852">
            <w:pPr>
              <w:pStyle w:val="Standard"/>
              <w:spacing w:line="480" w:lineRule="exact"/>
              <w:ind w:left="2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其他聯絡人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僅適用跨縣市共同提報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二、項目的鑒別與定義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項目本身的社會功能和文化意義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項目的傳承者和實踐者特徵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任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何特定角色，包括與性別有關的角色或對項目負有特殊責任的人員類別</w:t>
            </w:r>
          </w:p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目前項目的相關知識和技能的傳播模式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三、保護機制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13E" w:rsidRDefault="00692852">
            <w:pPr>
              <w:pStyle w:val="Standard"/>
              <w:spacing w:line="480" w:lineRule="exact"/>
              <w:ind w:left="463" w:hanging="463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從過去到現在為保護這項項目所作的努力</w:t>
            </w:r>
          </w:p>
          <w:p w:rsidR="0084313E" w:rsidRDefault="00692852">
            <w:pPr>
              <w:pStyle w:val="Standard"/>
              <w:spacing w:line="480" w:lineRule="exact"/>
              <w:ind w:left="463" w:hanging="463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保護措施提案</w:t>
            </w:r>
          </w:p>
          <w:p w:rsidR="003145BC" w:rsidRDefault="00692852" w:rsidP="0084313E">
            <w:pPr>
              <w:pStyle w:val="Standard"/>
              <w:spacing w:line="480" w:lineRule="exact"/>
              <w:ind w:left="463" w:hanging="46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參與保護措施的首長機關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包含姓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名、所屬機構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職銜、通信地址、連絡電話、電子郵件、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其他資訊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四、提報過程中的社群參與和同意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有關社群、團體和個人對提報過程的參與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對提報事宜自由、事先且知情同意</w:t>
            </w:r>
          </w:p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有關的社群組織或代表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包含組織名稱、聯絡人姓名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職稱、地址、電話號碼、電子郵件、其他資訊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五、收錄在非物質文化遺產清單中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已登錄無形文化資產項目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該項目名稱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負責維護和更新項目之機構名稱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該項目是否具有其他文化資產身分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AD73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該項目登錄日期</w:t>
            </w:r>
          </w:p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登錄歷程及價值評估等說明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321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ind w:left="536" w:hanging="536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六、檔案文件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確認提名的必要文件資料完整性，應包括：</w:t>
            </w:r>
          </w:p>
          <w:p w:rsidR="00AD739D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十張近期已授權之高解析度照片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(300dpi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以上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 w:rsidR="0084313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社群同意書之證明檔案</w:t>
            </w:r>
          </w:p>
          <w:p w:rsidR="0084313E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列入非物質文化遺產清單的書面資料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包括相關清單摘錄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有關非物質文化遺產保存登錄、遺產管理有關的參考文獻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檢附資料檢核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□1.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潛力名錄相關法定身分證明。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□2.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依《保護非物質文化遺產公約業務指南》完成「非物質文化遺產確認」、「項目的鑒別與定義」、「保護機制」、「提報過程中的社群參與和同意」、「收錄在非物質文化遺產清單中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已登錄無形文化資產項目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」、「檔案文件」之潛力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名錄文本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資料。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528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□3.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潛力名錄範圍跨縣市者，相關機關（構）分工及協調證明文件。</w:t>
            </w:r>
          </w:p>
        </w:tc>
      </w:tr>
      <w:tr w:rsidR="003145BC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9321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45BC" w:rsidRDefault="00692852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□4.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訪查紀錄、說明會或公聽會會議紀錄及其他相關資料。</w:t>
            </w:r>
          </w:p>
        </w:tc>
      </w:tr>
    </w:tbl>
    <w:p w:rsidR="003145BC" w:rsidRDefault="00692852">
      <w:pPr>
        <w:pStyle w:val="Standard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★</w:t>
      </w:r>
      <w:r>
        <w:rPr>
          <w:rFonts w:ascii="標楷體" w:eastAsia="標楷體" w:hAnsi="標楷體" w:cs="標楷體"/>
          <w:color w:val="000000"/>
          <w:sz w:val="26"/>
          <w:szCs w:val="26"/>
        </w:rPr>
        <w:t>表格欄位請依需求自行調整及編製頁碼，以利索引對照。</w:t>
      </w:r>
    </w:p>
    <w:p w:rsidR="003145BC" w:rsidRDefault="003145BC">
      <w:pPr>
        <w:pStyle w:val="Standard"/>
        <w:widowControl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E27187" w:rsidRDefault="00E27187">
      <w:pPr>
        <w:pStyle w:val="Standard"/>
        <w:widowControl/>
        <w:spacing w:before="156" w:after="156" w:line="500" w:lineRule="exact"/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sectPr w:rsidR="00E2718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52" w:rsidRDefault="00692852">
      <w:r>
        <w:separator/>
      </w:r>
    </w:p>
  </w:endnote>
  <w:endnote w:type="continuationSeparator" w:id="0">
    <w:p w:rsidR="00692852" w:rsidRDefault="0069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4A" w:rsidRDefault="0069285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F440DF">
      <w:rPr>
        <w:noProof/>
      </w:rPr>
      <w:t>4</w:t>
    </w:r>
    <w:r>
      <w:fldChar w:fldCharType="end"/>
    </w:r>
  </w:p>
  <w:p w:rsidR="00027D4A" w:rsidRDefault="006928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52" w:rsidRDefault="00692852">
      <w:r>
        <w:rPr>
          <w:color w:val="000000"/>
        </w:rPr>
        <w:separator/>
      </w:r>
    </w:p>
  </w:footnote>
  <w:footnote w:type="continuationSeparator" w:id="0">
    <w:p w:rsidR="00692852" w:rsidRDefault="0069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4A" w:rsidRDefault="0069285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0AB"/>
    <w:multiLevelType w:val="multilevel"/>
    <w:tmpl w:val="D212B008"/>
    <w:styleLink w:val="WW8Num3"/>
    <w:lvl w:ilvl="0">
      <w:start w:val="1"/>
      <w:numFmt w:val="japaneseCounting"/>
      <w:lvlText w:val="（%1）"/>
      <w:lvlJc w:val="left"/>
      <w:pPr>
        <w:ind w:left="2466" w:hanging="480"/>
      </w:pPr>
      <w:rPr>
        <w:rFonts w:ascii="標楷體" w:eastAsia="標楷體" w:hAnsi="標楷體" w:cs="Calibri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826D3"/>
    <w:multiLevelType w:val="multilevel"/>
    <w:tmpl w:val="55921EE0"/>
    <w:styleLink w:val="WW8Num29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C1521"/>
    <w:multiLevelType w:val="multilevel"/>
    <w:tmpl w:val="9522DAFA"/>
    <w:styleLink w:val="WW8Num10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46D0C"/>
    <w:multiLevelType w:val="multilevel"/>
    <w:tmpl w:val="466E7B2C"/>
    <w:styleLink w:val="WW8Num24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77E9D"/>
    <w:multiLevelType w:val="multilevel"/>
    <w:tmpl w:val="46127E5A"/>
    <w:styleLink w:val="WW8Num15"/>
    <w:lvl w:ilvl="0">
      <w:start w:val="1"/>
      <w:numFmt w:val="japaneseCounting"/>
      <w:lvlText w:val="%1、"/>
      <w:lvlJc w:val="left"/>
      <w:pPr>
        <w:ind w:left="1331" w:hanging="480"/>
      </w:pPr>
      <w:rPr>
        <w:rFonts w:ascii="標楷體" w:eastAsia="標楷體" w:hAnsi="標楷體" w:cs="標楷體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2CA712C"/>
    <w:multiLevelType w:val="multilevel"/>
    <w:tmpl w:val="F1D4EEAA"/>
    <w:styleLink w:val="WW8Num20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67E06"/>
    <w:multiLevelType w:val="multilevel"/>
    <w:tmpl w:val="1FE61E40"/>
    <w:styleLink w:val="WW8Num27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C6940"/>
    <w:multiLevelType w:val="multilevel"/>
    <w:tmpl w:val="FA6EF140"/>
    <w:styleLink w:val="WW8Num12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D40FF4"/>
    <w:multiLevelType w:val="multilevel"/>
    <w:tmpl w:val="746A6B26"/>
    <w:styleLink w:val="WW8Num11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04092"/>
    <w:multiLevelType w:val="multilevel"/>
    <w:tmpl w:val="C08AFA04"/>
    <w:styleLink w:val="WW8Num2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C90FD4"/>
    <w:multiLevelType w:val="multilevel"/>
    <w:tmpl w:val="D65621AC"/>
    <w:styleLink w:val="WW8Num2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9D1B5D"/>
    <w:multiLevelType w:val="multilevel"/>
    <w:tmpl w:val="E67822E4"/>
    <w:styleLink w:val="WW8Num7"/>
    <w:lvl w:ilvl="0">
      <w:start w:val="2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7F7424"/>
    <w:multiLevelType w:val="multilevel"/>
    <w:tmpl w:val="BE122CBE"/>
    <w:styleLink w:val="WW8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610945"/>
    <w:multiLevelType w:val="multilevel"/>
    <w:tmpl w:val="A0B26C42"/>
    <w:styleLink w:val="WW8Num1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B3531E"/>
    <w:multiLevelType w:val="multilevel"/>
    <w:tmpl w:val="CD1078FE"/>
    <w:styleLink w:val="WW8Num14"/>
    <w:lvl w:ilvl="0">
      <w:start w:val="1"/>
      <w:numFmt w:val="japaneseCounting"/>
      <w:lvlText w:val="（%1）"/>
      <w:lvlJc w:val="left"/>
      <w:pPr>
        <w:ind w:left="4450" w:hanging="480"/>
      </w:pPr>
      <w:rPr>
        <w:rFonts w:ascii="標楷體" w:eastAsia="標楷體" w:hAnsi="標楷體" w:cs="Calibri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6206" w:hanging="480"/>
      </w:pPr>
    </w:lvl>
    <w:lvl w:ilvl="2">
      <w:start w:val="1"/>
      <w:numFmt w:val="lowerRoman"/>
      <w:lvlText w:val="%3."/>
      <w:lvlJc w:val="right"/>
      <w:pPr>
        <w:ind w:left="6686" w:hanging="480"/>
      </w:pPr>
    </w:lvl>
    <w:lvl w:ilvl="3">
      <w:start w:val="1"/>
      <w:numFmt w:val="decimal"/>
      <w:lvlText w:val="%4."/>
      <w:lvlJc w:val="left"/>
      <w:pPr>
        <w:ind w:left="7166" w:hanging="480"/>
      </w:pPr>
    </w:lvl>
    <w:lvl w:ilvl="4">
      <w:start w:val="1"/>
      <w:numFmt w:val="ideographTraditional"/>
      <w:lvlText w:val="%5、"/>
      <w:lvlJc w:val="left"/>
      <w:pPr>
        <w:ind w:left="7646" w:hanging="480"/>
      </w:pPr>
    </w:lvl>
    <w:lvl w:ilvl="5">
      <w:start w:val="1"/>
      <w:numFmt w:val="lowerRoman"/>
      <w:lvlText w:val="%6."/>
      <w:lvlJc w:val="right"/>
      <w:pPr>
        <w:ind w:left="8126" w:hanging="480"/>
      </w:pPr>
    </w:lvl>
    <w:lvl w:ilvl="6">
      <w:start w:val="1"/>
      <w:numFmt w:val="decimal"/>
      <w:lvlText w:val="%7."/>
      <w:lvlJc w:val="left"/>
      <w:pPr>
        <w:ind w:left="8606" w:hanging="480"/>
      </w:pPr>
    </w:lvl>
    <w:lvl w:ilvl="7">
      <w:start w:val="1"/>
      <w:numFmt w:val="ideographTraditional"/>
      <w:lvlText w:val="%8、"/>
      <w:lvlJc w:val="left"/>
      <w:pPr>
        <w:ind w:left="9086" w:hanging="480"/>
      </w:pPr>
    </w:lvl>
    <w:lvl w:ilvl="8">
      <w:start w:val="1"/>
      <w:numFmt w:val="lowerRoman"/>
      <w:lvlText w:val="%9."/>
      <w:lvlJc w:val="right"/>
      <w:pPr>
        <w:ind w:left="9566" w:hanging="480"/>
      </w:pPr>
    </w:lvl>
  </w:abstractNum>
  <w:abstractNum w:abstractNumId="15" w15:restartNumberingAfterBreak="0">
    <w:nsid w:val="4CDD7EC7"/>
    <w:multiLevelType w:val="multilevel"/>
    <w:tmpl w:val="E3A4A7AC"/>
    <w:styleLink w:val="WW8Num2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875D42"/>
    <w:multiLevelType w:val="multilevel"/>
    <w:tmpl w:val="E1E47878"/>
    <w:styleLink w:val="WW8Num9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10586D"/>
    <w:multiLevelType w:val="multilevel"/>
    <w:tmpl w:val="28EC50FE"/>
    <w:styleLink w:val="WW8Num3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723669"/>
    <w:multiLevelType w:val="multilevel"/>
    <w:tmpl w:val="1042004E"/>
    <w:styleLink w:val="WW8Num21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1393"/>
    <w:multiLevelType w:val="multilevel"/>
    <w:tmpl w:val="5B7873AE"/>
    <w:styleLink w:val="WW8Num4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7E653F"/>
    <w:multiLevelType w:val="multilevel"/>
    <w:tmpl w:val="F10E3E08"/>
    <w:styleLink w:val="WW8Num6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28128B"/>
    <w:multiLevelType w:val="multilevel"/>
    <w:tmpl w:val="478E9064"/>
    <w:styleLink w:val="WW8Num18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2" w15:restartNumberingAfterBreak="0">
    <w:nsid w:val="634D3FFF"/>
    <w:multiLevelType w:val="multilevel"/>
    <w:tmpl w:val="9E92BE5E"/>
    <w:styleLink w:val="WW8Num30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831A42"/>
    <w:multiLevelType w:val="multilevel"/>
    <w:tmpl w:val="32FEC4A6"/>
    <w:styleLink w:val="WW8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EB467B"/>
    <w:multiLevelType w:val="multilevel"/>
    <w:tmpl w:val="51AC87E6"/>
    <w:styleLink w:val="WW8Num19"/>
    <w:lvl w:ilvl="0">
      <w:start w:val="1"/>
      <w:numFmt w:val="japaneseCounting"/>
      <w:lvlText w:val="%1、"/>
      <w:lvlJc w:val="left"/>
      <w:pPr>
        <w:ind w:left="425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1B6595"/>
    <w:multiLevelType w:val="multilevel"/>
    <w:tmpl w:val="924016C2"/>
    <w:styleLink w:val="WW8Num13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F47946"/>
    <w:multiLevelType w:val="multilevel"/>
    <w:tmpl w:val="9A0EB6DC"/>
    <w:styleLink w:val="WW8Num16"/>
    <w:lvl w:ilvl="0">
      <w:start w:val="1"/>
      <w:numFmt w:val="japaneseCounting"/>
      <w:lvlText w:val="（%1）"/>
      <w:lvlJc w:val="left"/>
      <w:pPr>
        <w:ind w:left="2324" w:hanging="480"/>
      </w:pPr>
      <w:rPr>
        <w:rFonts w:ascii="標楷體" w:eastAsia="標楷體" w:hAnsi="標楷體" w:cs="Calibri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684" w:hanging="360"/>
      </w:pPr>
      <w:rPr>
        <w:rFonts w:ascii="標楷體" w:eastAsia="標楷體" w:hAnsi="標楷體" w:cs="Calibri"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3164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3764" w:hanging="480"/>
      </w:pPr>
    </w:lvl>
    <w:lvl w:ilvl="4">
      <w:start w:val="1"/>
      <w:numFmt w:val="ideographTraditional"/>
      <w:lvlText w:val="%5、"/>
      <w:lvlJc w:val="left"/>
      <w:pPr>
        <w:ind w:left="4244" w:hanging="480"/>
      </w:pPr>
    </w:lvl>
    <w:lvl w:ilvl="5">
      <w:start w:val="1"/>
      <w:numFmt w:val="lowerRoman"/>
      <w:lvlText w:val="%6."/>
      <w:lvlJc w:val="right"/>
      <w:pPr>
        <w:ind w:left="4724" w:hanging="480"/>
      </w:pPr>
    </w:lvl>
    <w:lvl w:ilvl="6">
      <w:start w:val="1"/>
      <w:numFmt w:val="decimal"/>
      <w:lvlText w:val="%7."/>
      <w:lvlJc w:val="left"/>
      <w:pPr>
        <w:ind w:left="5204" w:hanging="480"/>
      </w:pPr>
    </w:lvl>
    <w:lvl w:ilvl="7">
      <w:start w:val="1"/>
      <w:numFmt w:val="ideographTraditional"/>
      <w:lvlText w:val="%8、"/>
      <w:lvlJc w:val="left"/>
      <w:pPr>
        <w:ind w:left="5684" w:hanging="480"/>
      </w:pPr>
    </w:lvl>
    <w:lvl w:ilvl="8">
      <w:start w:val="1"/>
      <w:numFmt w:val="lowerRoman"/>
      <w:lvlText w:val="%9."/>
      <w:lvlJc w:val="right"/>
      <w:pPr>
        <w:ind w:left="6164" w:hanging="480"/>
      </w:pPr>
    </w:lvl>
  </w:abstractNum>
  <w:abstractNum w:abstractNumId="27" w15:restartNumberingAfterBreak="0">
    <w:nsid w:val="75FA4EC3"/>
    <w:multiLevelType w:val="multilevel"/>
    <w:tmpl w:val="9C2E0236"/>
    <w:styleLink w:val="WW8Num25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"/>
      <w:lvlJc w:val="left"/>
      <w:pPr>
        <w:ind w:left="1320" w:hanging="360"/>
      </w:pPr>
      <w:rPr>
        <w:rFonts w:ascii="新細明體, PMingLiU" w:eastAsia="新細明體, PMingLiU" w:hAnsi="新細明體, PMingLiU" w:cs="新細明體, PMingLiU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9D2693"/>
    <w:multiLevelType w:val="multilevel"/>
    <w:tmpl w:val="1030410A"/>
    <w:styleLink w:val="WW8Num22"/>
    <w:lvl w:ilvl="0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721EBC"/>
    <w:multiLevelType w:val="multilevel"/>
    <w:tmpl w:val="8B303238"/>
    <w:styleLink w:val="WW8Num28"/>
    <w:lvl w:ilvl="0">
      <w:start w:val="1"/>
      <w:numFmt w:val="japaneseCounting"/>
      <w:lvlText w:val="（%1）"/>
      <w:lvlJc w:val="left"/>
      <w:pPr>
        <w:ind w:left="480" w:hanging="480"/>
      </w:pPr>
      <w:rPr>
        <w:rFonts w:ascii="標楷體" w:eastAsia="標楷體" w:hAnsi="標楷體" w:cs="Calibri"/>
        <w:bCs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962DC"/>
    <w:multiLevelType w:val="multilevel"/>
    <w:tmpl w:val="BCEAD51C"/>
    <w:styleLink w:val="WW8Num1"/>
    <w:lvl w:ilvl="0">
      <w:start w:val="2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9"/>
  </w:num>
  <w:num w:numId="3">
    <w:abstractNumId w:val="0"/>
  </w:num>
  <w:num w:numId="4">
    <w:abstractNumId w:val="19"/>
  </w:num>
  <w:num w:numId="5">
    <w:abstractNumId w:val="12"/>
  </w:num>
  <w:num w:numId="6">
    <w:abstractNumId w:val="20"/>
  </w:num>
  <w:num w:numId="7">
    <w:abstractNumId w:val="11"/>
  </w:num>
  <w:num w:numId="8">
    <w:abstractNumId w:val="23"/>
  </w:num>
  <w:num w:numId="9">
    <w:abstractNumId w:val="16"/>
  </w:num>
  <w:num w:numId="10">
    <w:abstractNumId w:val="2"/>
  </w:num>
  <w:num w:numId="11">
    <w:abstractNumId w:val="8"/>
  </w:num>
  <w:num w:numId="12">
    <w:abstractNumId w:val="7"/>
  </w:num>
  <w:num w:numId="13">
    <w:abstractNumId w:val="25"/>
  </w:num>
  <w:num w:numId="14">
    <w:abstractNumId w:val="14"/>
  </w:num>
  <w:num w:numId="15">
    <w:abstractNumId w:val="4"/>
  </w:num>
  <w:num w:numId="16">
    <w:abstractNumId w:val="26"/>
  </w:num>
  <w:num w:numId="17">
    <w:abstractNumId w:val="13"/>
  </w:num>
  <w:num w:numId="18">
    <w:abstractNumId w:val="21"/>
  </w:num>
  <w:num w:numId="19">
    <w:abstractNumId w:val="24"/>
  </w:num>
  <w:num w:numId="20">
    <w:abstractNumId w:val="5"/>
  </w:num>
  <w:num w:numId="21">
    <w:abstractNumId w:val="18"/>
  </w:num>
  <w:num w:numId="22">
    <w:abstractNumId w:val="28"/>
  </w:num>
  <w:num w:numId="23">
    <w:abstractNumId w:val="15"/>
  </w:num>
  <w:num w:numId="24">
    <w:abstractNumId w:val="3"/>
  </w:num>
  <w:num w:numId="25">
    <w:abstractNumId w:val="27"/>
  </w:num>
  <w:num w:numId="26">
    <w:abstractNumId w:val="10"/>
  </w:num>
  <w:num w:numId="27">
    <w:abstractNumId w:val="6"/>
  </w:num>
  <w:num w:numId="28">
    <w:abstractNumId w:val="29"/>
  </w:num>
  <w:num w:numId="29">
    <w:abstractNumId w:val="1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45BC"/>
    <w:rsid w:val="003145BC"/>
    <w:rsid w:val="00692852"/>
    <w:rsid w:val="0084313E"/>
    <w:rsid w:val="00AD739D"/>
    <w:rsid w:val="00E27187"/>
    <w:rsid w:val="00F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1DD6"/>
  <w15:docId w15:val="{D238318D-B714-404F-8490-DF22079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  <w:rPr>
      <w:rFonts w:ascii="標楷體" w:eastAsia="標楷體" w:hAnsi="標楷體"/>
      <w:sz w:val="32"/>
      <w:szCs w:val="22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Times New Roman"/>
      <w:b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Calibri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  <w:rPr>
      <w:rFonts w:ascii="新細明體, PMingLiU" w:eastAsia="新細明體, PMingLiU" w:hAnsi="新細明體, PMingLiU" w:cs="新細明體, PMingLiU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標楷體" w:eastAsia="標楷體" w:hAnsi="標楷體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標楷體" w:eastAsia="標楷體" w:hAnsi="標楷體" w:cs="Times New Roman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標楷體" w:eastAsia="標楷體" w:hAnsi="標楷體" w:cs="Calibri"/>
      <w:bCs/>
      <w:sz w:val="28"/>
      <w:szCs w:val="28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Calibri"/>
      <w:bCs/>
      <w:sz w:val="28"/>
      <w:szCs w:val="28"/>
    </w:rPr>
  </w:style>
  <w:style w:type="character" w:customStyle="1" w:styleId="WW8Num16z2">
    <w:name w:val="WW8Num16z2"/>
    <w:rPr>
      <w:rFonts w:ascii="新細明體, PMingLiU" w:eastAsia="新細明體, PMingLiU" w:hAnsi="新細明體, PMingLiU" w:cs="新細明體, PMingLiU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2">
    <w:name w:val="WW8Num17z2"/>
    <w:rPr>
      <w:rFonts w:ascii="新細明體, PMingLiU" w:eastAsia="新細明體, PMingLiU" w:hAnsi="新細明體, PMingLiU" w:cs="新細明體, PMingLiU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Wingdings" w:hAnsi="Wingdings" w:cs="Wingdings"/>
    </w:rPr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Times New Roman"/>
      <w:bCs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  <w:rPr>
      <w:rFonts w:ascii="新細明體, PMingLiU" w:eastAsia="新細明體, PMingLiU" w:hAnsi="新細明體, PMingLiU" w:cs="新細明體, PMingLiU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2">
    <w:name w:val="WW8Num24z2"/>
    <w:rPr>
      <w:rFonts w:ascii="新細明體, PMingLiU" w:eastAsia="新細明體, PMingLiU" w:hAnsi="新細明體, PMingLiU" w:cs="新細明體, PMingLiU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2">
    <w:name w:val="WW8Num25z2"/>
    <w:rPr>
      <w:rFonts w:ascii="新細明體, PMingLiU" w:eastAsia="新細明體, PMingLiU" w:hAnsi="新細明體, PMingLiU" w:cs="新細明體, PMingLi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2">
    <w:name w:val="WW8Num26z2"/>
    <w:rPr>
      <w:rFonts w:ascii="新細明體, PMingLiU" w:eastAsia="新細明體, PMingLiU" w:hAnsi="新細明體, PMingLiU" w:cs="新細明體, PMingLiU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標楷體" w:eastAsia="標楷體" w:hAnsi="標楷體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Calibri"/>
      <w:bCs/>
      <w:sz w:val="28"/>
      <w:szCs w:val="28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Times New Roman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2">
    <w:name w:val="WW8Num31z2"/>
    <w:rPr>
      <w:rFonts w:ascii="新細明體, PMingLiU" w:eastAsia="新細明體, PMingLiU" w:hAnsi="新細明體, PMingLiU" w:cs="新細明體, PMingLiU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內政部臺灣城鄉風貌整體規劃示範計畫執行要點</dc:title>
  <dc:subject/>
  <dc:creator>100034</dc:creator>
  <cp:keywords/>
  <cp:lastModifiedBy>施惠蘋</cp:lastModifiedBy>
  <cp:revision>4</cp:revision>
  <cp:lastPrinted>2022-10-26T17:59:00Z</cp:lastPrinted>
  <dcterms:created xsi:type="dcterms:W3CDTF">2022-11-14T07:56:00Z</dcterms:created>
  <dcterms:modified xsi:type="dcterms:W3CDTF">2022-11-14T08:01:00Z</dcterms:modified>
</cp:coreProperties>
</file>