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80" w:lineRule="auto"/>
        <w:ind w:firstLine="4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心靈與材質的閃耀交會</w:t>
      </w:r>
    </w:p>
    <w:p w:rsidR="00000000" w:rsidDel="00000000" w:rsidP="00000000" w:rsidRDefault="00000000" w:rsidRPr="00000000" w14:paraId="00000003">
      <w:pPr>
        <w:spacing w:after="240" w:line="380" w:lineRule="auto"/>
        <w:ind w:firstLine="4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國美館10月「越野的靈光：莊普個展」即將開展</w:t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6237"/>
        </w:tabs>
        <w:spacing w:after="120" w:lineRule="auto"/>
        <w:ind w:firstLine="425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國立臺灣美術館即將於今年10月28日辦理「越野的靈光：莊普個展」，這是藝術家莊普近年的大型個展，今(25)日於臺北舉辦記者會，由國美館陳貺怡館長主持，邀請策展人石瑞仁及藝術家莊普出席盛會。</w:t>
          </w:r>
        </w:sdtContent>
      </w:sdt>
    </w:p>
    <w:p w:rsidR="00000000" w:rsidDel="00000000" w:rsidP="00000000" w:rsidRDefault="00000000" w:rsidRPr="00000000" w14:paraId="00000005">
      <w:pPr>
        <w:widowControl w:val="1"/>
        <w:tabs>
          <w:tab w:val="left" w:leader="none" w:pos="6237"/>
        </w:tabs>
        <w:spacing w:after="120" w:lineRule="auto"/>
        <w:ind w:firstLine="425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國美館陳貺怡館長提到，本展橫跨藝術家莊普40年的創作歷程，約百餘件作品，是他歷年最大的個展，共用了國美館8個展間與美術街，不僅展出其美學符號代表的章格繪畫濫觴〈邂逅後的誘惑II〉，並重製1980-1990年代經典作品〈來去自如遨遊四方〉，更因應美術館空間衍伸嶄新的現地製作〈即刻峇里島〉，與10餘件新作，非常壯觀。</w:t>
          </w:r>
        </w:sdtContent>
      </w:sdt>
    </w:p>
    <w:p w:rsidR="00000000" w:rsidDel="00000000" w:rsidP="00000000" w:rsidRDefault="00000000" w:rsidRPr="00000000" w14:paraId="00000006">
      <w:pPr>
        <w:widowControl w:val="1"/>
        <w:tabs>
          <w:tab w:val="left" w:leader="none" w:pos="6237"/>
        </w:tabs>
        <w:spacing w:after="120" w:lineRule="auto"/>
        <w:ind w:firstLine="425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策展人石瑞仁以「越野的靈光」點出莊普既有純藝術的抽象表達，也有回應日常生活的現世寓意的兩種創作語彙。本次展出範圍為美術街、展覽室103-107、203-205。觀眾將能在掌握此兩種語彙中感受藝術家運用各種材料的美學精神，如採用水泥、金屬與木材創作出千變萬化的藝術造型。</w:t>
          </w:r>
        </w:sdtContent>
      </w:sdt>
    </w:p>
    <w:p w:rsidR="00000000" w:rsidDel="00000000" w:rsidP="00000000" w:rsidRDefault="00000000" w:rsidRPr="00000000" w14:paraId="00000007">
      <w:pPr>
        <w:widowControl w:val="1"/>
        <w:tabs>
          <w:tab w:val="left" w:leader="none" w:pos="6237"/>
        </w:tabs>
        <w:spacing w:after="120" w:lineRule="auto"/>
        <w:ind w:firstLine="425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藝術家莊普表示，作為一位藝術家，當看見現實世界有很多不公不義的事情，就想用繪畫、立體、裝置等藝術形式表達出對真實生活的不滿及抗爭，用極簡的方式表達出自己靈魂深處的想法。莊普特別感謝所有借展與策劃團隊的慷慨支持，</w:t>
          </w:r>
        </w:sdtContent>
      </w:sdt>
      <w:r w:rsidDel="00000000" w:rsidR="00000000" w:rsidRPr="00000000">
        <w:rPr>
          <w:color w:val="000000"/>
          <w:rtl w:val="0"/>
        </w:rPr>
        <w:t xml:space="preserve">「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這次國美館的展覽是我展過最大的空間，壓力非常大，原本心裡很忐忑，但當所有作品都佈好也打燈之後，</w:t>
          </w:r>
        </w:sdtContent>
      </w:sdt>
      <w:r w:rsidDel="00000000" w:rsidR="00000000" w:rsidRPr="00000000">
        <w:rPr>
          <w:color w:val="000000"/>
          <w:rtl w:val="0"/>
        </w:rPr>
        <w:t xml:space="preserve">我</w:t>
      </w: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不禁讚嘆，我的作品真得很好！</w:t>
          </w:r>
        </w:sdtContent>
      </w:sdt>
      <w:r w:rsidDel="00000000" w:rsidR="00000000" w:rsidRPr="00000000">
        <w:rPr>
          <w:color w:val="000000"/>
          <w:rtl w:val="0"/>
        </w:rPr>
        <w:t xml:space="preserve">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6237"/>
        </w:tabs>
        <w:spacing w:after="120" w:lineRule="auto"/>
        <w:ind w:firstLine="425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莊普1981年回臺後積極從事藝術創作，超過40年從未間斷，累積近30次個展，始終保持實驗創新精神，1980年代與陳慧嶠、劉慶堂等人共同創立「伊通公園」（IT PARK）藝術空間，積極推動臺灣當代藝術創作風潮，持續的創作熱情與對臺灣當代藝術環境的貢獻，使其於2019年榮獲得國家文藝獎，為臺灣當代藝術重量級代表。莊普從極簡主義精神中發展出具有自己特色的觀念藝術與裝置作品，有以理性幾何的形狀構建出材料與空間的詩意感受，有藝術與生活對話的詼諧、以及回應社會時代的嚴肅時刻，表現藝術家如何回應所處環境的多樣形態。</w:t>
          </w:r>
        </w:sdtContent>
      </w:sdt>
    </w:p>
    <w:p w:rsidR="00000000" w:rsidDel="00000000" w:rsidP="00000000" w:rsidRDefault="00000000" w:rsidRPr="00000000" w14:paraId="00000009">
      <w:pPr>
        <w:widowControl w:val="1"/>
        <w:tabs>
          <w:tab w:val="left" w:leader="none" w:pos="6237"/>
        </w:tabs>
        <w:spacing w:after="120" w:lineRule="auto"/>
        <w:ind w:firstLine="425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國立臺灣美術館近年來致力於「重建臺灣藝術史」計畫，積極籌辦臺灣重要藝術家個展，並透過國家美術館典藏機制、出版研究及教育推廣活動等多面向途徑，持續與社會大眾分享臺灣美術史的美學軌跡。今(112)年度陸續辦理黃土水、謝里法、黃才郎等資深藝術家個展，而此次莊普個展，將納入當代藝術的美學脈絡，更完整臺灣美術史的時間光譜。國美館將於展期間規劃多場導覽與推廣活動，請隨時留意國美館官網活動資訊，歡迎蒞臨體驗。</w:t>
          </w:r>
        </w:sdtContent>
      </w:sdt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「越野的靈光：莊普個展」</w:t>
          </w:r>
        </w:sdtContent>
      </w:sdt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340" w:hanging="340"/>
        <w:rPr>
          <w:rFonts w:ascii="Times New Roman" w:cs="Times New Roman" w:eastAsia="Times New Roman" w:hAnsi="Times New Roman"/>
          <w:color w:val="000000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展覽時間： 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112年10月28日至113年02月18日</w:t>
          </w:r>
        </w:sdtContent>
      </w:sdt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340" w:hanging="340"/>
        <w:rPr>
          <w:rFonts w:ascii="Times New Roman" w:cs="Times New Roman" w:eastAsia="Times New Roman" w:hAnsi="Times New Roman"/>
          <w:color w:val="00000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展覽地點： 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國立臺灣美術館美術街、103-107、203-205展覽室</w:t>
          </w:r>
        </w:sdtContent>
      </w:sdt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340" w:hanging="340"/>
        <w:rPr>
          <w:rFonts w:ascii="Times New Roman" w:cs="Times New Roman" w:eastAsia="Times New Roman" w:hAnsi="Times New Roman"/>
          <w:color w:val="000000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展覽承辦人：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黃詠純、何宗游 電話：(04)23723552 #303、#308</w:t>
          </w:r>
        </w:sdtContent>
      </w:sdt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340" w:hanging="340"/>
        <w:rPr>
          <w:rFonts w:ascii="Times New Roman" w:cs="Times New Roman" w:eastAsia="Times New Roman" w:hAnsi="Times New Roman"/>
          <w:color w:val="000000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新聞聯絡人：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嚴碧梅 電話 (04)23723552 #123</w:t>
          </w:r>
        </w:sdtContent>
      </w:sdt>
    </w:p>
    <w:p w:rsidR="00000000" w:rsidDel="00000000" w:rsidP="00000000" w:rsidRDefault="00000000" w:rsidRPr="00000000" w14:paraId="00000010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國立臺灣美術館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340" w:hanging="34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官網：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https://www.ntmofa.gov.tw/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340" w:hanging="34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FB：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https://www.facebook.com/ntmofa/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340" w:hanging="340"/>
        <w:rPr>
          <w:rFonts w:ascii="Arial" w:cs="Arial" w:eastAsia="Arial" w:hAnsi="Arial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LINE：</w:t>
      </w:r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https://lin.ee/dApAqLs</w:t>
      </w:r>
    </w:p>
    <w:p w:rsidR="00000000" w:rsidDel="00000000" w:rsidP="00000000" w:rsidRDefault="00000000" w:rsidRPr="00000000" w14:paraId="00000015">
      <w:pPr>
        <w:spacing w:before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開放時間：週二至週五09:00～17:00</w:t>
          </w:r>
        </w:sdtContent>
      </w:sdt>
    </w:p>
    <w:p w:rsidR="00000000" w:rsidDel="00000000" w:rsidP="00000000" w:rsidRDefault="00000000" w:rsidRPr="00000000" w14:paraId="00000017">
      <w:pPr>
        <w:spacing w:line="276" w:lineRule="auto"/>
        <w:ind w:firstLine="1202"/>
        <w:jc w:val="both"/>
        <w:rPr>
          <w:rFonts w:ascii="Times New Roman" w:cs="Times New Roman" w:eastAsia="Times New Roman" w:hAnsi="Times New Roman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週六、週日09:00～18:00</w:t>
          </w:r>
        </w:sdtContent>
      </w:sdt>
    </w:p>
    <w:p w:rsidR="00000000" w:rsidDel="00000000" w:rsidP="00000000" w:rsidRDefault="00000000" w:rsidRPr="00000000" w14:paraId="00000018">
      <w:pPr>
        <w:spacing w:line="276" w:lineRule="auto"/>
        <w:ind w:firstLine="1202"/>
        <w:jc w:val="both"/>
        <w:rPr>
          <w:rFonts w:ascii="Times New Roman" w:cs="Times New Roman" w:eastAsia="Times New Roman" w:hAnsi="Times New Roman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週一休館</w:t>
          </w:r>
        </w:sdtContent>
      </w:sdt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館   址：403414臺中市西區五權西路一段二號  服務電話：(04) 2372-3552</w:t>
          </w:r>
        </w:sdtContent>
      </w:sdt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hd w:fill="ffffff" w:val="clear"/>
        <w:spacing w:after="72" w:before="72" w:lineRule="auto"/>
        <w:rPr>
          <w:rFonts w:ascii="PMingLiu" w:cs="PMingLiu" w:eastAsia="PMingLiu" w:hAnsi="PMingLiu"/>
          <w:b w:val="1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附件：展覽亮點作品</w:t>
      </w:r>
    </w:p>
    <w:tbl>
      <w:tblPr>
        <w:tblStyle w:val="Table1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3969"/>
        <w:tblGridChange w:id="0">
          <w:tblGrid>
            <w:gridCol w:w="5098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1"/>
              <w:spacing w:after="72" w:before="72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作品圖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spacing w:after="72" w:before="72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作品圖說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</w:rPr>
              <w:drawing>
                <wp:inline distB="0" distT="0" distL="0" distR="0">
                  <wp:extent cx="2774461" cy="1763428"/>
                  <wp:effectExtent b="0" l="0" r="0" t="0"/>
                  <wp:docPr descr="C:\Users\ychuang\AppData\Local\Microsoft\Windows\INetCache\Content.Word\1985_來去自如遨遊四方_擴圖.jpg" id="14" name="image7.jpg"/>
                  <a:graphic>
                    <a:graphicData uri="http://schemas.openxmlformats.org/drawingml/2006/picture">
                      <pic:pic>
                        <pic:nvPicPr>
                          <pic:cNvPr descr="C:\Users\ychuang\AppData\Local\Microsoft\Windows\INetCache\Content.Word\1985_來去自如遨遊四方_擴圖.jpg" id="0" name="image7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61" cy="17634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〈來去自如遨遊四方〉，1985，不鏽鋼，尺寸依場地而定，藝術家提供。</w:t>
            </w:r>
          </w:p>
          <w:p w:rsidR="00000000" w:rsidDel="00000000" w:rsidP="00000000" w:rsidRDefault="00000000" w:rsidRPr="00000000" w14:paraId="00000020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屬本次個展的經典作品重製之一，為實心不銹鋼造型，一組5件，可組裝變幻出不同造型，在平面視覺與空間體驗各自創造多元的感知體驗。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</w:rPr>
              <w:drawing>
                <wp:inline distB="0" distT="0" distL="0" distR="0">
                  <wp:extent cx="2803210" cy="1804030"/>
                  <wp:effectExtent b="0" l="0" r="0" t="0"/>
                  <wp:docPr descr="D:\2023莊普\5.作品清單與資訊\作品圖檔\展覽瀏覽用\2013_TsongPu_召喚神話Beckoning to a Myth_1.jpg" id="16" name="image3.jpg"/>
                  <a:graphic>
                    <a:graphicData uri="http://schemas.openxmlformats.org/drawingml/2006/picture">
                      <pic:pic>
                        <pic:nvPicPr>
                          <pic:cNvPr descr="D:\2023莊普\5.作品清單與資訊\作品圖檔\展覽瀏覽用\2013_TsongPu_召喚神話Beckoning to a Myth_1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210" cy="1804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〈召喚神話〉，2013，複合媒材裝置，尺寸依場地而定，藝術家提供。</w:t>
            </w:r>
          </w:p>
          <w:p w:rsidR="00000000" w:rsidDel="00000000" w:rsidP="00000000" w:rsidRDefault="00000000" w:rsidRPr="00000000" w14:paraId="00000024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此作以20多座幾何抽象的三角柱造形體，結合懷舊意象的各色木製門窗，在美術大街尾端，打造了一個臺灣各地眷村聯想的住宅聚落。觀眾可以從不同方位乃至空覽角度，瀏覽各家各戶同中有異的老舊風情。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</w:rPr>
              <w:drawing>
                <wp:inline distB="0" distT="0" distL="0" distR="0">
                  <wp:extent cx="2785528" cy="2149316"/>
                  <wp:effectExtent b="0" l="0" r="0" t="0"/>
                  <wp:docPr id="1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528" cy="2149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〈逃離現場〉，1992，木材，尺寸依場地而定，藝術家提供。</w:t>
            </w:r>
          </w:p>
          <w:p w:rsidR="00000000" w:rsidDel="00000000" w:rsidP="00000000" w:rsidRDefault="00000000" w:rsidRPr="00000000" w14:paraId="00000028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復刻1992年作品〈逃離現場」〉。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為藝術家莊普創作的靈光起源，為展覽主視覺所使用的作品意象。整個房間，被轉化為一個環場型的壁面裝置。</w:t>
            </w:r>
          </w:p>
          <w:p w:rsidR="00000000" w:rsidDel="00000000" w:rsidP="00000000" w:rsidRDefault="00000000" w:rsidRPr="00000000" w14:paraId="0000002B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</w:rPr>
              <w:drawing>
                <wp:inline distB="0" distT="0" distL="0" distR="0">
                  <wp:extent cx="2087709" cy="1226621"/>
                  <wp:effectExtent b="0" l="0" r="0" t="0"/>
                  <wp:docPr descr="D:\2023莊普\5.作品清單與資訊\作品圖檔\展覽瀏覽用\(27_30)_1999-2021_莊普_手的競技場-無限和有限_複合媒材Mixed Media_84.1x49.6x3.6cm.jpg" id="18" name="image5.png"/>
                  <a:graphic>
                    <a:graphicData uri="http://schemas.openxmlformats.org/drawingml/2006/picture">
                      <pic:pic>
                        <pic:nvPicPr>
                          <pic:cNvPr descr="D:\2023莊普\5.作品清單與資訊\作品圖檔\展覽瀏覽用\(27_30)_1999-2021_莊普_手的競技場-無限和有限_複合媒材Mixed Media_84.1x49.6x3.6cm.jpg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709" cy="12266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</w:rPr>
              <w:drawing>
                <wp:inline distB="0" distT="0" distL="0" distR="0">
                  <wp:extent cx="2118812" cy="1246360"/>
                  <wp:effectExtent b="0" l="0" r="0" t="0"/>
                  <wp:docPr descr="D:\2023莊普\5.作品清單與資訊\作品圖檔\展覽瀏覽用\(7_30)_1999-2021_莊普_手的競技場-裡面完成的是餘燼_複合媒材Mixed Media_84.1x49.6x3.6cm.jpg" id="17" name="image6.jpg"/>
                  <a:graphic>
                    <a:graphicData uri="http://schemas.openxmlformats.org/drawingml/2006/picture">
                      <pic:pic>
                        <pic:nvPicPr>
                          <pic:cNvPr descr="D:\2023莊普\5.作品清單與資訊\作品圖檔\展覽瀏覽用\(7_30)_1999-2021_莊普_手的競技場-裡面完成的是餘燼_複合媒材Mixed Media_84.1x49.6x3.6cm.jpg"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12" cy="1246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手的競技場，2021，複合媒材，49.6x84.1公分x30件，國立臺灣美術館典藏。</w:t>
            </w:r>
          </w:p>
          <w:p w:rsidR="00000000" w:rsidDel="00000000" w:rsidP="00000000" w:rsidRDefault="00000000" w:rsidRPr="00000000" w14:paraId="0000002F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(圖示為其中2組件)</w:t>
            </w:r>
          </w:p>
        </w:tc>
      </w:tr>
      <w:tr>
        <w:trPr>
          <w:cantSplit w:val="0"/>
          <w:trHeight w:val="566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</w:rPr>
              <w:drawing>
                <wp:inline distB="0" distT="0" distL="0" distR="0">
                  <wp:extent cx="2837186" cy="1891457"/>
                  <wp:effectExtent b="0" l="0" r="0" t="0"/>
                  <wp:docPr descr="D:\2023莊普\5.作品清單與資訊\作品圖檔\展覽瀏覽用\2022_光塵尺度.jpg" id="20" name="image1.jpg"/>
                  <a:graphic>
                    <a:graphicData uri="http://schemas.openxmlformats.org/drawingml/2006/picture">
                      <pic:pic>
                        <pic:nvPicPr>
                          <pic:cNvPr descr="D:\2023莊普\5.作品清單與資訊\作品圖檔\展覽瀏覽用\2022_光塵尺度.jpg"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86" cy="1891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spacing w:after="72" w:before="72" w:lineRule="auto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〈光塵呎度〉，2022，魯班尺、乳膠漆、木板、水盤，尺寸依場地而定，藝術家提供。</w:t>
            </w:r>
          </w:p>
        </w:tc>
      </w:tr>
    </w:tbl>
    <w:p w:rsidR="00000000" w:rsidDel="00000000" w:rsidP="00000000" w:rsidRDefault="00000000" w:rsidRPr="00000000" w14:paraId="00000033">
      <w:pPr>
        <w:widowControl w:val="1"/>
        <w:shd w:fill="ffffff" w:val="clear"/>
        <w:spacing w:after="72" w:before="72" w:lineRule="auto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72" w:line="276" w:lineRule="auto"/>
        <w:jc w:val="both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  <w:font w:name="PMingLiu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-900" w:right="-468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952625" cy="333375"/>
          <wp:effectExtent b="0" l="0" r="0" t="0"/>
          <wp:docPr descr="描述: 描述: logo+中英文-橫" id="19" name="image2.jpg"/>
          <a:graphic>
            <a:graphicData uri="http://schemas.openxmlformats.org/drawingml/2006/picture">
              <pic:pic>
                <pic:nvPicPr>
                  <pic:cNvPr descr="描述: 描述: logo+中英文-橫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新聞稿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112/10/25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654" w:hanging="173.99999999999994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 w:val="1"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 w:val="1"/>
    <w:unhideWhenUsed w:val="1"/>
    <w:rsid w:val="002A4906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註解方塊文字 字元"/>
    <w:basedOn w:val="a0"/>
    <w:link w:val="a8"/>
    <w:uiPriority w:val="99"/>
    <w:semiHidden w:val="1"/>
    <w:rsid w:val="002A4906"/>
    <w:rPr>
      <w:rFonts w:asciiTheme="majorHAnsi" w:cstheme="majorBidi" w:eastAsiaTheme="majorEastAsia" w:hAnsiTheme="majorHAnsi"/>
      <w:sz w:val="18"/>
      <w:szCs w:val="18"/>
    </w:rPr>
  </w:style>
  <w:style w:type="paragraph" w:styleId="aa">
    <w:name w:val="List Paragraph"/>
    <w:basedOn w:val="a"/>
    <w:uiPriority w:val="34"/>
    <w:qFormat w:val="1"/>
    <w:rsid w:val="00D42CFB"/>
    <w:pPr>
      <w:ind w:left="480" w:leftChars="200"/>
    </w:pPr>
  </w:style>
  <w:style w:type="paragraph" w:styleId="xs2" w:customStyle="1">
    <w:name w:val="x_s2"/>
    <w:basedOn w:val="a"/>
    <w:rsid w:val="00667C5B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rmaltextrun" w:customStyle="1">
    <w:name w:val="normaltextrun"/>
    <w:basedOn w:val="a0"/>
    <w:rsid w:val="00A401E1"/>
  </w:style>
  <w:style w:type="character" w:styleId="ac">
    <w:name w:val="annotation reference"/>
    <w:basedOn w:val="a0"/>
    <w:uiPriority w:val="99"/>
    <w:semiHidden w:val="1"/>
    <w:unhideWhenUsed w:val="1"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A401E1"/>
    <w:pPr>
      <w:widowControl w:val="1"/>
    </w:pPr>
    <w:rPr>
      <w:rFonts w:ascii="Times New Roman" w:cs="Times New Roman" w:hAnsi="Times New Roman"/>
      <w:kern w:val="0"/>
      <w:szCs w:val="24"/>
    </w:rPr>
  </w:style>
  <w:style w:type="character" w:styleId="ae" w:customStyle="1">
    <w:name w:val="註解文字 字元"/>
    <w:basedOn w:val="a0"/>
    <w:link w:val="ad"/>
    <w:uiPriority w:val="99"/>
    <w:semiHidden w:val="1"/>
    <w:rsid w:val="00A401E1"/>
    <w:rPr>
      <w:rFonts w:ascii="Times New Roman" w:cs="Times New Roman" w:hAnsi="Times New Roman"/>
      <w:kern w:val="0"/>
      <w:szCs w:val="24"/>
    </w:rPr>
  </w:style>
  <w:style w:type="paragraph" w:styleId="Web">
    <w:name w:val="Normal (Web)"/>
    <w:basedOn w:val="a"/>
    <w:uiPriority w:val="99"/>
    <w:unhideWhenUsed w:val="1"/>
    <w:rsid w:val="002F4C79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character" w:styleId="af">
    <w:name w:val="FollowedHyperlink"/>
    <w:basedOn w:val="a0"/>
    <w:uiPriority w:val="99"/>
    <w:semiHidden w:val="1"/>
    <w:unhideWhenUsed w:val="1"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 w:val="1"/>
    <w:rsid w:val="000530F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image" Target="media/image6.jp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header" Target="header1.xml"/><Relationship Id="rId14" Type="http://schemas.openxmlformats.org/officeDocument/2006/relationships/image" Target="media/image1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tmofa.gov.tw/" TargetMode="External"/><Relationship Id="rId8" Type="http://schemas.openxmlformats.org/officeDocument/2006/relationships/hyperlink" Target="https://www.facebook.com/ntmof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+TjLXVKtxSncTuj34z8oZJhzi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DIIaC5namRneHM4AHIhMTZNRkFHdkttdUxXc1ZaLUU4Q2dYbENneDRxVnNUck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2023-10-25T08:00:00Z</dcterms:created>
  <dc:creator>林學敏</dc:creator>
</cp:coreProperties>
</file>