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pBdr/>
        <w:shd w:fill="ffffff" w:val="clear"/>
        <w:spacing w:after="9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2129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1d2129"/>
          <w:sz w:val="23"/>
          <w:szCs w:val="23"/>
          <w:u w:val="none"/>
          <w:vertAlign w:val="baseline"/>
          <w:rtl w:val="0"/>
        </w:rPr>
        <w:t xml:space="preserve">台灣優質畫廊進軍Art Basel及Art Central引領台灣藝術實力邁向國際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hd w:fill="ffffff" w:val="clear"/>
        <w:spacing w:after="9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2129"/>
          <w:sz w:val="23"/>
          <w:szCs w:val="2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hd w:fill="ffffff" w:val="clear"/>
        <w:spacing w:after="9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2129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d2129"/>
          <w:sz w:val="23"/>
          <w:szCs w:val="23"/>
          <w:u w:val="none"/>
          <w:vertAlign w:val="baseline"/>
          <w:rtl w:val="0"/>
        </w:rPr>
        <w:t xml:space="preserve">三月的香港很藝術，總計有21間優質台灣優質畫廊進軍ART BASEL Hong Kong及ART CENTRAL。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hd w:fill="ffffff" w:val="clear"/>
        <w:spacing w:after="9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2129"/>
          <w:sz w:val="23"/>
          <w:szCs w:val="2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hd w:fill="ffffff" w:val="clear"/>
        <w:spacing w:after="9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2129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d2129"/>
          <w:sz w:val="23"/>
          <w:szCs w:val="23"/>
          <w:u w:val="none"/>
          <w:vertAlign w:val="baseline"/>
          <w:rtl w:val="0"/>
        </w:rPr>
        <w:t xml:space="preserve">2017年ART BASEL Hong Kong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d2129"/>
          <w:sz w:val="23"/>
          <w:szCs w:val="23"/>
          <w:highlight w:val="white"/>
          <w:u w:val="none"/>
          <w:vertAlign w:val="baseline"/>
          <w:rtl w:val="0"/>
        </w:rPr>
        <w:t xml:space="preserve">來自34個國家及地區的242間頂尖藝廊中首度有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10間來自台灣的藝廊參與，是為大未來林舍畫廊 、耿畫廊、索卡藝術、尊彩藝術中心、誠品畫廊、TKG+、安卓藝術、其玟畫廊、</w:t>
      </w:r>
      <w:r w:rsidDel="00000000" w:rsidR="00000000" w:rsidRPr="00000000">
        <w:rPr>
          <w:rFonts w:ascii="Arial Unicode MS" w:cs="Arial Unicode MS" w:eastAsia="Arial Unicode MS" w:hAnsi="Arial Unicode MS"/>
          <w:sz w:val="23"/>
          <w:szCs w:val="23"/>
          <w:highlight w:val="white"/>
          <w:rtl w:val="0"/>
        </w:rPr>
        <w:t xml:space="preserve">A+ Contemporary、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就在藝術空間， 數量居以往之冠。而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第三屆ART CENTRAL台灣參展畫廊則分別為</w:t>
      </w:r>
      <w:hyperlink r:id="rId5">
        <w:r w:rsidDel="00000000" w:rsidR="00000000" w:rsidRPr="00000000">
          <w:rPr>
            <w:rFonts w:ascii="inherit" w:cs="inherit" w:eastAsia="inherit" w:hAnsi="inherit"/>
            <w:b w:val="0"/>
            <w:i w:val="0"/>
            <w:smallCaps w:val="0"/>
            <w:strike w:val="0"/>
            <w:color w:val="000000"/>
            <w:sz w:val="23"/>
            <w:szCs w:val="23"/>
            <w:u w:val="none"/>
            <w:vertAlign w:val="baseline"/>
            <w:rtl w:val="0"/>
          </w:rPr>
          <w:t xml:space="preserve">首都藝術中心</w:t>
        </w:r>
      </w:hyperlink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、 </w:t>
      </w:r>
      <w:hyperlink r:id="rId6">
        <w:r w:rsidDel="00000000" w:rsidR="00000000" w:rsidRPr="00000000">
          <w:rPr>
            <w:rFonts w:ascii="inherit" w:cs="inherit" w:eastAsia="inherit" w:hAnsi="inherit"/>
            <w:b w:val="0"/>
            <w:i w:val="0"/>
            <w:smallCaps w:val="0"/>
            <w:strike w:val="0"/>
            <w:color w:val="000000"/>
            <w:sz w:val="23"/>
            <w:szCs w:val="23"/>
            <w:u w:val="none"/>
            <w:vertAlign w:val="baseline"/>
            <w:rtl w:val="0"/>
          </w:rPr>
          <w:t xml:space="preserve">雅逸藝術中心</w:t>
        </w:r>
      </w:hyperlink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、 </w:t>
      </w:r>
      <w:hyperlink r:id="rId7">
        <w:r w:rsidDel="00000000" w:rsidR="00000000" w:rsidRPr="00000000">
          <w:rPr>
            <w:rFonts w:ascii="inherit" w:cs="inherit" w:eastAsia="inherit" w:hAnsi="inherit"/>
            <w:b w:val="0"/>
            <w:i w:val="0"/>
            <w:smallCaps w:val="0"/>
            <w:strike w:val="0"/>
            <w:color w:val="000000"/>
            <w:sz w:val="23"/>
            <w:szCs w:val="23"/>
            <w:u w:val="none"/>
            <w:vertAlign w:val="baseline"/>
            <w:rtl w:val="0"/>
          </w:rPr>
          <w:t xml:space="preserve">大象藝術空間館</w:t>
        </w:r>
      </w:hyperlink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、 </w:t>
      </w:r>
      <w:hyperlink r:id="rId8">
        <w:r w:rsidDel="00000000" w:rsidR="00000000" w:rsidRPr="00000000">
          <w:rPr>
            <w:rFonts w:ascii="inherit" w:cs="inherit" w:eastAsia="inherit" w:hAnsi="inherit"/>
            <w:b w:val="0"/>
            <w:i w:val="0"/>
            <w:smallCaps w:val="0"/>
            <w:strike w:val="0"/>
            <w:color w:val="000000"/>
            <w:sz w:val="23"/>
            <w:szCs w:val="23"/>
            <w:u w:val="none"/>
            <w:vertAlign w:val="baseline"/>
            <w:rtl w:val="0"/>
          </w:rPr>
          <w:t xml:space="preserve">德鴻畫廊</w:t>
        </w:r>
      </w:hyperlink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、 </w:t>
      </w:r>
      <w:hyperlink r:id="rId9">
        <w:r w:rsidDel="00000000" w:rsidR="00000000" w:rsidRPr="00000000">
          <w:rPr>
            <w:rFonts w:ascii="inherit" w:cs="inherit" w:eastAsia="inherit" w:hAnsi="inherit"/>
            <w:b w:val="0"/>
            <w:i w:val="0"/>
            <w:smallCaps w:val="0"/>
            <w:strike w:val="0"/>
            <w:color w:val="000000"/>
            <w:sz w:val="23"/>
            <w:szCs w:val="23"/>
            <w:u w:val="none"/>
            <w:vertAlign w:val="baseline"/>
            <w:rtl w:val="0"/>
          </w:rPr>
          <w:t xml:space="preserve">科元藝術中心</w:t>
        </w:r>
      </w:hyperlink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、 </w:t>
      </w:r>
      <w:hyperlink r:id="rId10">
        <w:r w:rsidDel="00000000" w:rsidR="00000000" w:rsidRPr="00000000">
          <w:rPr>
            <w:rFonts w:ascii="inherit" w:cs="inherit" w:eastAsia="inherit" w:hAnsi="inherit"/>
            <w:b w:val="0"/>
            <w:i w:val="0"/>
            <w:smallCaps w:val="0"/>
            <w:strike w:val="0"/>
            <w:color w:val="000000"/>
            <w:sz w:val="23"/>
            <w:szCs w:val="23"/>
            <w:u w:val="none"/>
            <w:vertAlign w:val="baseline"/>
            <w:rtl w:val="0"/>
          </w:rPr>
          <w:t xml:space="preserve">Bluerider ART </w:t>
        </w:r>
      </w:hyperlink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等六間畫廊協會會員畫廊參與盛會，</w:t>
      </w:r>
      <w:r w:rsidDel="00000000" w:rsidR="00000000" w:rsidRPr="00000000">
        <w:rPr>
          <w:rFonts w:ascii="Arial Unicode MS" w:cs="Arial Unicode MS" w:eastAsia="Arial Unicode MS" w:hAnsi="Arial Unicode MS"/>
          <w:sz w:val="23"/>
          <w:szCs w:val="23"/>
          <w:rtl w:val="0"/>
        </w:rPr>
        <w:t xml:space="preserve">以及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十方藝術空間、正藝美學空間、宛儒畫廊、木木藝術、青藝術等藝廊參展，引領台灣藝術實力邁向國際。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hd w:fill="ffffff" w:val="clear"/>
        <w:spacing w:after="9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2129"/>
          <w:sz w:val="23"/>
          <w:szCs w:val="2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hd w:fill="ffffff" w:val="clear"/>
        <w:spacing w:after="9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2129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d2129"/>
          <w:sz w:val="23"/>
          <w:szCs w:val="23"/>
          <w:u w:val="none"/>
          <w:vertAlign w:val="baseline"/>
          <w:rtl w:val="0"/>
        </w:rPr>
        <w:t xml:space="preserve">藝術家親臨現場也是藝術博覽會最為引人入勝的環節之一，兩個展會皆有多位藝術家親臨現場，A+ Contemporary新生代藝術家胡為一、首都藝術中心參展藝術家蕭耀與徐畢華、宛儒畫廊之賴純純及連建興、德鴻畫廊的田島大介與林書楷，提供藏家、藝術愛好者親身了解創作者及創作理念的機會</w:t>
      </w: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3"/>
          <w:szCs w:val="23"/>
          <w:rtl w:val="0"/>
        </w:rPr>
        <w:t xml:space="preserve">；安卓藝術展出之石晉華更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d2129"/>
          <w:sz w:val="23"/>
          <w:szCs w:val="23"/>
          <w:u w:val="none"/>
          <w:vertAlign w:val="baseline"/>
          <w:rtl w:val="0"/>
        </w:rPr>
        <w:t xml:space="preserve">被</w:t>
      </w: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3"/>
          <w:szCs w:val="23"/>
          <w:rtl w:val="0"/>
        </w:rPr>
        <w:t xml:space="preserve">Art Radar及PRESTIGE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d2129"/>
          <w:sz w:val="23"/>
          <w:szCs w:val="23"/>
          <w:u w:val="none"/>
          <w:vertAlign w:val="baseline"/>
          <w:rtl w:val="0"/>
        </w:rPr>
        <w:t xml:space="preserve">挑選為</w:t>
      </w:r>
      <w:r w:rsidDel="00000000" w:rsidR="00000000" w:rsidRPr="00000000">
        <w:rPr>
          <w:rFonts w:ascii="Helvetica Neue" w:cs="Helvetica Neue" w:eastAsia="Helvetica Neue" w:hAnsi="Helvetica Neue"/>
          <w:color w:val="1d2129"/>
          <w:sz w:val="23"/>
          <w:szCs w:val="23"/>
          <w:rtl w:val="0"/>
        </w:rPr>
        <w:t xml:space="preserve">A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d2129"/>
          <w:sz w:val="23"/>
          <w:szCs w:val="23"/>
          <w:u w:val="none"/>
          <w:vertAlign w:val="baseline"/>
          <w:rtl w:val="0"/>
        </w:rPr>
        <w:t xml:space="preserve">rt Basel 必看展位</w:t>
      </w: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3"/>
          <w:szCs w:val="23"/>
          <w:rtl w:val="0"/>
        </w:rPr>
        <w:t xml:space="preserve">之一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d2129"/>
          <w:sz w:val="23"/>
          <w:szCs w:val="23"/>
          <w:u w:val="none"/>
          <w:vertAlign w:val="baseline"/>
          <w:rtl w:val="0"/>
        </w:rPr>
        <w:t xml:space="preserve">，整體買氣熱絡</w:t>
      </w: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3"/>
          <w:szCs w:val="23"/>
          <w:rtl w:val="0"/>
        </w:rPr>
        <w:t xml:space="preserve">。受到青睞的Art Central台灣藝廊也不在少數，如科元藝術中心展出之</w:t>
      </w: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3"/>
          <w:szCs w:val="23"/>
          <w:highlight w:val="white"/>
          <w:rtl w:val="0"/>
        </w:rPr>
        <w:t xml:space="preserve">陳幸婉的水墨作品即被Financial Times形容為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24"/>
          <w:szCs w:val="24"/>
          <w:highlight w:val="white"/>
          <w:rtl w:val="0"/>
        </w:rPr>
        <w:t xml:space="preserve">「</w:t>
      </w: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3"/>
          <w:szCs w:val="23"/>
          <w:highlight w:val="white"/>
          <w:rtl w:val="0"/>
        </w:rPr>
        <w:t xml:space="preserve">有力的亮點作品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24"/>
          <w:szCs w:val="24"/>
          <w:highlight w:val="white"/>
          <w:rtl w:val="0"/>
        </w:rPr>
        <w:t xml:space="preserve">」</w:t>
      </w:r>
      <w:r w:rsidDel="00000000" w:rsidR="00000000" w:rsidRPr="00000000">
        <w:rPr>
          <w:rFonts w:ascii="inherit" w:cs="inherit" w:eastAsia="inherit" w:hAnsi="inherit"/>
          <w:color w:val="1d2129"/>
          <w:sz w:val="23"/>
          <w:szCs w:val="23"/>
          <w:rtl w:val="0"/>
        </w:rPr>
        <w:t xml:space="preserve">、木木藝術也被Artsy特別選為Art Central必看展位之一，台灣參展畫廊在香港表現亮眼</w:t>
      </w: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3"/>
          <w:szCs w:val="23"/>
          <w:rtl w:val="0"/>
        </w:rPr>
        <w:t xml:space="preserve">，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d2129"/>
          <w:sz w:val="23"/>
          <w:szCs w:val="23"/>
          <w:u w:val="none"/>
          <w:vertAlign w:val="baseline"/>
          <w:rtl w:val="0"/>
        </w:rPr>
        <w:t xml:space="preserve">兩個展會皆將持續至3/25(六)，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1d2129"/>
          <w:sz w:val="23"/>
          <w:szCs w:val="23"/>
          <w:u w:val="none"/>
          <w:vertAlign w:val="baseline"/>
          <w:rtl w:val="0"/>
        </w:rPr>
        <w:t xml:space="preserve">同時亦敬邀有興趣的媒體朋友前往展會現場取材，親身了解參展藝術家與台灣優質藝廊的策展理念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d2129"/>
          <w:sz w:val="23"/>
          <w:szCs w:val="23"/>
          <w:u w:val="none"/>
          <w:vertAlign w:val="baseline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 Unicode MS"/>
  <w:font w:name="Arial"/>
  <w:font w:name="inherit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drawing>
        <wp:inline distB="0" distT="0" distL="114300" distR="114300">
          <wp:extent cx="3978275" cy="451485"/>
          <wp:effectExtent b="0" l="0" r="0" t="0"/>
          <wp:docPr descr="C:\Users\YuChing.Teng\Downloads\Art_Taipei_2017_logo_頁尾.jpg" id="2" name="image03.jpg"/>
          <a:graphic>
            <a:graphicData uri="http://schemas.openxmlformats.org/drawingml/2006/picture">
              <pic:pic>
                <pic:nvPicPr>
                  <pic:cNvPr descr="C:\Users\YuChing.Teng\Downloads\Art_Taipei_2017_logo_頁尾.jpg" id="0" name="image0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78275" cy="4514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153"/>
        <w:tab w:val="right" w:pos="8306"/>
      </w:tabs>
      <w:spacing w:after="992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153"/>
        <w:tab w:val="right" w:pos="8306"/>
      </w:tabs>
      <w:spacing w:after="0" w:before="851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drawing>
        <wp:inline distB="0" distT="0" distL="114300" distR="114300">
          <wp:extent cx="1109980" cy="526415"/>
          <wp:effectExtent b="0" l="0" r="0" t="0"/>
          <wp:docPr descr="C:\Users\YuChing.Teng\Downloads\IMG_6687.JPG" id="1" name="image02.jpg"/>
          <a:graphic>
            <a:graphicData uri="http://schemas.openxmlformats.org/drawingml/2006/picture">
              <pic:pic>
                <pic:nvPicPr>
                  <pic:cNvPr descr="C:\Users\YuChing.Teng\Downloads\IMG_6687.JPG" id="0" name="image0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980" cy="5264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eader" Target="header1.xml"/><Relationship Id="rId10" Type="http://schemas.openxmlformats.org/officeDocument/2006/relationships/hyperlink" Target="https://www.facebook.com/BlueriderART/" TargetMode="External"/><Relationship Id="rId12" Type="http://schemas.openxmlformats.org/officeDocument/2006/relationships/footer" Target="footer1.xml"/><Relationship Id="rId9" Type="http://schemas.openxmlformats.org/officeDocument/2006/relationships/hyperlink" Target="https://www.facebook.com/GalleryKeYuan/" TargetMode="External"/><Relationship Id="rId5" Type="http://schemas.openxmlformats.org/officeDocument/2006/relationships/hyperlink" Target="https://www.facebook.com/capitalartcenter/" TargetMode="External"/><Relationship Id="rId6" Type="http://schemas.openxmlformats.org/officeDocument/2006/relationships/hyperlink" Target="https://www.facebook.com/juliagallery1/" TargetMode="External"/><Relationship Id="rId7" Type="http://schemas.openxmlformats.org/officeDocument/2006/relationships/hyperlink" Target="https://www.facebook.com/daxiang.art.tw/" TargetMode="External"/><Relationship Id="rId8" Type="http://schemas.openxmlformats.org/officeDocument/2006/relationships/hyperlink" Target="https://www.facebook.com/derhorn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2.jpg"/></Relationships>
</file>