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E8" w:rsidRPr="00C870E8" w:rsidRDefault="00C870E8" w:rsidP="00C870E8">
      <w:pPr>
        <w:widowControl/>
        <w:spacing w:after="81" w:line="360" w:lineRule="auto"/>
        <w:jc w:val="center"/>
        <w:outlineLvl w:val="2"/>
        <w:rPr>
          <w:rFonts w:ascii="新細明體" w:hAnsi="新細明體" w:cs="新細明體"/>
          <w:b/>
          <w:spacing w:val="10"/>
          <w:kern w:val="0"/>
          <w:sz w:val="28"/>
        </w:rPr>
      </w:pPr>
      <w:bookmarkStart w:id="0" w:name="_GoBack"/>
      <w:bookmarkEnd w:id="0"/>
      <w:r w:rsidRPr="00C870E8">
        <w:rPr>
          <w:rFonts w:ascii="新細明體" w:hAnsi="新細明體" w:cs="新細明體"/>
          <w:b/>
          <w:spacing w:val="10"/>
          <w:kern w:val="0"/>
          <w:sz w:val="28"/>
        </w:rPr>
        <w:t>影視媒體專用器材設備或車輛進口免繳關稅證明書申請須知</w:t>
      </w:r>
    </w:p>
    <w:p w:rsidR="00C870E8" w:rsidRPr="00C870E8" w:rsidRDefault="00C870E8" w:rsidP="00C870E8">
      <w:pPr>
        <w:widowControl/>
        <w:spacing w:after="150" w:line="312" w:lineRule="auto"/>
        <w:rPr>
          <w:rFonts w:ascii="新細明體" w:hAnsi="新細明體" w:cs="新細明體"/>
          <w:spacing w:val="10"/>
          <w:kern w:val="0"/>
        </w:rPr>
      </w:pPr>
      <w:r w:rsidRPr="00C870E8">
        <w:rPr>
          <w:rFonts w:ascii="新細明體" w:hAnsi="新細明體" w:cs="新細明體"/>
          <w:spacing w:val="10"/>
          <w:kern w:val="0"/>
        </w:rPr>
        <w:t>中華民國87年06月19日行政院新聞局訂定</w:t>
      </w:r>
      <w:r w:rsidRPr="00C870E8">
        <w:rPr>
          <w:rFonts w:ascii="新細明體" w:hAnsi="新細明體" w:cs="新細明體"/>
          <w:spacing w:val="10"/>
          <w:kern w:val="0"/>
        </w:rPr>
        <w:br/>
        <w:t>中華民國89年03月07日行政院新聞局修正</w:t>
      </w:r>
      <w:r w:rsidRPr="00C870E8">
        <w:rPr>
          <w:rFonts w:ascii="新細明體" w:hAnsi="新細明體" w:cs="新細明體"/>
          <w:spacing w:val="10"/>
          <w:kern w:val="0"/>
        </w:rPr>
        <w:br/>
        <w:t>中華民國91年07月11日</w:t>
      </w:r>
      <w:proofErr w:type="gramStart"/>
      <w:r w:rsidRPr="00C870E8">
        <w:rPr>
          <w:rFonts w:ascii="新細明體" w:hAnsi="新細明體" w:cs="新細明體"/>
          <w:spacing w:val="10"/>
          <w:kern w:val="0"/>
        </w:rPr>
        <w:t>行政院新聞局新綜一字</w:t>
      </w:r>
      <w:proofErr w:type="gramEnd"/>
      <w:r w:rsidRPr="00C870E8">
        <w:rPr>
          <w:rFonts w:ascii="新細明體" w:hAnsi="新細明體" w:cs="新細明體"/>
          <w:spacing w:val="10"/>
          <w:kern w:val="0"/>
        </w:rPr>
        <w:t>第0911020695號令修正發布全文四點</w:t>
      </w:r>
      <w:r w:rsidRPr="00C870E8">
        <w:rPr>
          <w:rFonts w:ascii="新細明體" w:hAnsi="新細明體" w:cs="新細明體"/>
          <w:spacing w:val="10"/>
          <w:kern w:val="0"/>
        </w:rPr>
        <w:br/>
        <w:t>中華民國98年12月11日</w:t>
      </w:r>
      <w:proofErr w:type="gramStart"/>
      <w:r w:rsidRPr="00C870E8">
        <w:rPr>
          <w:rFonts w:ascii="新細明體" w:hAnsi="新細明體" w:cs="新細明體"/>
          <w:spacing w:val="10"/>
          <w:kern w:val="0"/>
        </w:rPr>
        <w:t>行政院新聞局新綜一字</w:t>
      </w:r>
      <w:proofErr w:type="gramEnd"/>
      <w:r w:rsidRPr="00C870E8">
        <w:rPr>
          <w:rFonts w:ascii="新細明體" w:hAnsi="新細明體" w:cs="新細明體"/>
          <w:spacing w:val="10"/>
          <w:kern w:val="0"/>
        </w:rPr>
        <w:t>第0981020982Z號令修正發布</w:t>
      </w:r>
      <w:r w:rsidRPr="00C870E8">
        <w:rPr>
          <w:rFonts w:ascii="新細明體" w:hAnsi="新細明體" w:cs="新細明體"/>
          <w:spacing w:val="10"/>
          <w:kern w:val="0"/>
        </w:rPr>
        <w:br/>
        <w:t>中華民國101年3月30日新</w:t>
      </w:r>
      <w:proofErr w:type="gramStart"/>
      <w:r w:rsidRPr="00C870E8">
        <w:rPr>
          <w:rFonts w:ascii="新細明體" w:hAnsi="新細明體" w:cs="新細明體"/>
          <w:spacing w:val="10"/>
          <w:kern w:val="0"/>
        </w:rPr>
        <w:t>綜</w:t>
      </w:r>
      <w:proofErr w:type="gramEnd"/>
      <w:r w:rsidRPr="00C870E8">
        <w:rPr>
          <w:rFonts w:ascii="新細明體" w:hAnsi="新細明體" w:cs="新細明體"/>
          <w:spacing w:val="10"/>
          <w:kern w:val="0"/>
        </w:rPr>
        <w:t>一字第1011020325Z號</w:t>
      </w:r>
    </w:p>
    <w:p w:rsidR="00C870E8" w:rsidRPr="00C870E8" w:rsidRDefault="00C870E8" w:rsidP="00C870E8">
      <w:pPr>
        <w:widowControl/>
        <w:spacing w:line="408" w:lineRule="auto"/>
        <w:rPr>
          <w:rFonts w:ascii="新細明體" w:hAnsi="新細明體" w:cs="新細明體"/>
          <w:spacing w:val="10"/>
          <w:kern w:val="0"/>
          <w:sz w:val="22"/>
        </w:rPr>
      </w:pPr>
      <w:proofErr w:type="gramStart"/>
      <w:r w:rsidRPr="00C870E8">
        <w:rPr>
          <w:rFonts w:ascii="新細明體" w:hAnsi="新細明體" w:cs="新細明體"/>
          <w:b/>
          <w:spacing w:val="10"/>
          <w:kern w:val="0"/>
          <w:sz w:val="22"/>
        </w:rPr>
        <w:t>一</w:t>
      </w:r>
      <w:proofErr w:type="gramEnd"/>
      <w:r w:rsidRPr="00C870E8">
        <w:rPr>
          <w:rFonts w:ascii="新細明體" w:hAnsi="新細明體" w:cs="新細明體"/>
          <w:b/>
          <w:spacing w:val="10"/>
          <w:kern w:val="0"/>
          <w:sz w:val="22"/>
        </w:rPr>
        <w:t>.依據</w:t>
      </w:r>
      <w:r w:rsidRPr="00C870E8">
        <w:rPr>
          <w:rFonts w:ascii="新細明體" w:hAnsi="新細明體" w:cs="新細明體"/>
          <w:b/>
          <w:spacing w:val="10"/>
          <w:kern w:val="0"/>
          <w:sz w:val="22"/>
        </w:rPr>
        <w:br/>
      </w:r>
      <w:r w:rsidRPr="00C870E8">
        <w:rPr>
          <w:rFonts w:ascii="新細明體" w:hAnsi="新細明體" w:cs="新細明體"/>
          <w:spacing w:val="10"/>
          <w:kern w:val="0"/>
          <w:sz w:val="22"/>
        </w:rPr>
        <w:t>依據民國八十七年六月十七日華總</w:t>
      </w:r>
      <w:proofErr w:type="gramStart"/>
      <w:r w:rsidRPr="00C870E8">
        <w:rPr>
          <w:rFonts w:ascii="新細明體" w:hAnsi="新細明體" w:cs="新細明體"/>
          <w:spacing w:val="10"/>
          <w:kern w:val="0"/>
          <w:sz w:val="22"/>
        </w:rPr>
        <w:t>一義字第八七○○</w:t>
      </w:r>
      <w:proofErr w:type="gramEnd"/>
      <w:r w:rsidRPr="00C870E8">
        <w:rPr>
          <w:rFonts w:ascii="新細明體" w:hAnsi="新細明體" w:cs="新細明體"/>
          <w:spacing w:val="10"/>
          <w:kern w:val="0"/>
          <w:sz w:val="22"/>
        </w:rPr>
        <w:t>一一八七一○號總統令修正公布之海關進口稅則第八十五章增</w:t>
      </w:r>
      <w:proofErr w:type="gramStart"/>
      <w:r w:rsidRPr="00C870E8">
        <w:rPr>
          <w:rFonts w:ascii="新細明體" w:hAnsi="新細明體" w:cs="新細明體"/>
          <w:spacing w:val="10"/>
          <w:kern w:val="0"/>
          <w:sz w:val="22"/>
        </w:rPr>
        <w:t>註</w:t>
      </w:r>
      <w:proofErr w:type="gramEnd"/>
      <w:r w:rsidRPr="00C870E8">
        <w:rPr>
          <w:rFonts w:ascii="新細明體" w:hAnsi="新細明體" w:cs="新細明體"/>
          <w:spacing w:val="10"/>
          <w:kern w:val="0"/>
          <w:sz w:val="22"/>
        </w:rPr>
        <w:t>六：「經行政院新聞局核准或許可設立之電影事業、廣播電視事業或廣播電視節目供應事業，輸入歸屬本章（第八五二三節及八五二四節所列貨品除外）、第三七○七節、第八十四章或第九十章之影視媒體專用器材設備，暨歸屬第八七○五九○目之影視媒體專用特種車輛，經行政院新聞局證明屬實者免稅」規定辦理。</w:t>
      </w:r>
      <w:r w:rsidRPr="00C870E8">
        <w:rPr>
          <w:rFonts w:ascii="新細明體" w:hAnsi="新細明體" w:cs="新細明體"/>
          <w:spacing w:val="10"/>
          <w:kern w:val="0"/>
          <w:sz w:val="22"/>
        </w:rPr>
        <w:br/>
        <w:t>營利事業登記證已停用 欲取得公司證明文件 請至經濟部網頁查詢列印即可，</w:t>
      </w:r>
      <w:hyperlink r:id="rId6" w:tgtFrame="_nwMof" w:history="1">
        <w:r w:rsidRPr="00C870E8">
          <w:rPr>
            <w:rFonts w:ascii="新細明體" w:hAnsi="新細明體" w:cs="新細明體"/>
            <w:spacing w:val="10"/>
            <w:kern w:val="0"/>
            <w:sz w:val="22"/>
            <w:u w:val="single"/>
          </w:rPr>
          <w:t>http://gcis.nat.gov.tw/pub/cmpy/cmpyInfoListAction.do</w:t>
        </w:r>
      </w:hyperlink>
    </w:p>
    <w:p w:rsidR="00C870E8" w:rsidRPr="00C870E8" w:rsidRDefault="00C870E8" w:rsidP="00C870E8">
      <w:pPr>
        <w:widowControl/>
        <w:spacing w:before="100" w:beforeAutospacing="1" w:after="100" w:afterAutospacing="1" w:line="408" w:lineRule="auto"/>
        <w:rPr>
          <w:rFonts w:ascii="新細明體" w:hAnsi="新細明體" w:cs="新細明體"/>
          <w:spacing w:val="10"/>
          <w:kern w:val="0"/>
          <w:sz w:val="22"/>
        </w:rPr>
      </w:pPr>
      <w:r w:rsidRPr="00C870E8">
        <w:rPr>
          <w:rFonts w:ascii="新細明體" w:hAnsi="新細明體" w:cs="新細明體"/>
          <w:b/>
          <w:spacing w:val="10"/>
          <w:kern w:val="0"/>
          <w:sz w:val="22"/>
        </w:rPr>
        <w:t>二.適用對象</w:t>
      </w:r>
      <w:r w:rsidRPr="00C870E8">
        <w:rPr>
          <w:rFonts w:ascii="新細明體" w:hAnsi="新細明體" w:cs="新細明體"/>
          <w:b/>
          <w:spacing w:val="10"/>
          <w:kern w:val="0"/>
          <w:sz w:val="22"/>
        </w:rPr>
        <w:br/>
      </w:r>
      <w:r w:rsidRPr="00C870E8">
        <w:rPr>
          <w:rFonts w:ascii="新細明體" w:hAnsi="新細明體" w:cs="新細明體"/>
          <w:spacing w:val="10"/>
          <w:kern w:val="0"/>
          <w:sz w:val="22"/>
        </w:rPr>
        <w:t>(</w:t>
      </w:r>
      <w:proofErr w:type="gramStart"/>
      <w:r w:rsidRPr="00C870E8">
        <w:rPr>
          <w:rFonts w:ascii="新細明體" w:hAnsi="新細明體" w:cs="新細明體"/>
          <w:spacing w:val="10"/>
          <w:kern w:val="0"/>
          <w:sz w:val="22"/>
        </w:rPr>
        <w:t>一</w:t>
      </w:r>
      <w:proofErr w:type="gramEnd"/>
      <w:r w:rsidRPr="00C870E8">
        <w:rPr>
          <w:rFonts w:ascii="新細明體" w:hAnsi="新細明體" w:cs="新細明體"/>
          <w:spacing w:val="10"/>
          <w:kern w:val="0"/>
          <w:sz w:val="22"/>
        </w:rPr>
        <w:t>)電影事業指依電影法設立之電影片製作業、</w:t>
      </w:r>
      <w:proofErr w:type="gramStart"/>
      <w:r w:rsidRPr="00C870E8">
        <w:rPr>
          <w:rFonts w:ascii="新細明體" w:hAnsi="新細明體" w:cs="新細明體"/>
          <w:spacing w:val="10"/>
          <w:kern w:val="0"/>
          <w:sz w:val="22"/>
        </w:rPr>
        <w:t>電影片發行業</w:t>
      </w:r>
      <w:proofErr w:type="gramEnd"/>
      <w:r w:rsidRPr="00C870E8">
        <w:rPr>
          <w:rFonts w:ascii="新細明體" w:hAnsi="新細明體" w:cs="新細明體"/>
          <w:spacing w:val="10"/>
          <w:kern w:val="0"/>
          <w:sz w:val="22"/>
        </w:rPr>
        <w:t>、電影片映演業及電影工業。</w:t>
      </w:r>
      <w:r w:rsidRPr="00C870E8">
        <w:rPr>
          <w:rFonts w:ascii="新細明體" w:hAnsi="新細明體" w:cs="新細明體"/>
          <w:spacing w:val="10"/>
          <w:kern w:val="0"/>
          <w:sz w:val="22"/>
        </w:rPr>
        <w:br/>
        <w:t>(二)廣播電視事業指：</w:t>
      </w:r>
      <w:r w:rsidRPr="00C870E8">
        <w:rPr>
          <w:rFonts w:ascii="新細明體" w:hAnsi="新細明體" w:cs="新細明體"/>
          <w:spacing w:val="10"/>
          <w:kern w:val="0"/>
          <w:sz w:val="22"/>
        </w:rPr>
        <w:br/>
        <w:t>1.依廣播電視法設立之廣播電視事業（含取得籌設許可者）。</w:t>
      </w:r>
      <w:r w:rsidRPr="00C870E8">
        <w:rPr>
          <w:rFonts w:ascii="新細明體" w:hAnsi="新細明體" w:cs="新細明體"/>
          <w:spacing w:val="10"/>
          <w:kern w:val="0"/>
          <w:sz w:val="22"/>
        </w:rPr>
        <w:br/>
      </w:r>
      <w:r w:rsidRPr="00C870E8">
        <w:rPr>
          <w:rFonts w:ascii="新細明體" w:hAnsi="新細明體" w:cs="新細明體"/>
          <w:spacing w:val="10"/>
          <w:kern w:val="0"/>
          <w:sz w:val="22"/>
        </w:rPr>
        <w:lastRenderedPageBreak/>
        <w:t>2.依有線廣播電視法設立之有線廣播電視系統經營者（含取得籌設許可者）。</w:t>
      </w:r>
      <w:r w:rsidRPr="00C870E8">
        <w:rPr>
          <w:rFonts w:ascii="新細明體" w:hAnsi="新細明體" w:cs="新細明體"/>
          <w:spacing w:val="10"/>
          <w:kern w:val="0"/>
          <w:sz w:val="22"/>
        </w:rPr>
        <w:br/>
        <w:t>3.依有線電視節目播送系統暫行管理辦法登記之有線電視節目播送系統業者。</w:t>
      </w:r>
      <w:r w:rsidRPr="00C870E8">
        <w:rPr>
          <w:rFonts w:ascii="新細明體" w:hAnsi="新細明體" w:cs="新細明體"/>
          <w:spacing w:val="10"/>
          <w:kern w:val="0"/>
          <w:sz w:val="22"/>
        </w:rPr>
        <w:br/>
        <w:t>4.依衛星廣播電視法設立之衛星廣播電視事業。</w:t>
      </w:r>
      <w:r w:rsidRPr="00C870E8">
        <w:rPr>
          <w:rFonts w:ascii="新細明體" w:hAnsi="新細明體" w:cs="新細明體"/>
          <w:spacing w:val="10"/>
          <w:kern w:val="0"/>
          <w:sz w:val="22"/>
        </w:rPr>
        <w:br/>
        <w:t xml:space="preserve">(三)廣播電視節目供應事業指依廣播電視節目供應事業管理規則設立之業者。　</w:t>
      </w:r>
    </w:p>
    <w:p w:rsidR="00C870E8" w:rsidRPr="00C870E8" w:rsidRDefault="00C870E8" w:rsidP="00C870E8">
      <w:pPr>
        <w:widowControl/>
        <w:spacing w:before="100" w:beforeAutospacing="1" w:after="100" w:afterAutospacing="1" w:line="408" w:lineRule="auto"/>
        <w:rPr>
          <w:rFonts w:ascii="新細明體" w:hAnsi="新細明體" w:cs="新細明體"/>
          <w:spacing w:val="10"/>
          <w:kern w:val="0"/>
          <w:sz w:val="22"/>
        </w:rPr>
      </w:pPr>
      <w:r w:rsidRPr="00C870E8">
        <w:rPr>
          <w:rFonts w:ascii="新細明體" w:hAnsi="新細明體" w:cs="新細明體"/>
          <w:b/>
          <w:spacing w:val="10"/>
          <w:kern w:val="0"/>
          <w:sz w:val="22"/>
        </w:rPr>
        <w:t>三.申請注意事項</w:t>
      </w:r>
      <w:r w:rsidRPr="00C870E8">
        <w:rPr>
          <w:rFonts w:ascii="新細明體" w:hAnsi="新細明體" w:cs="新細明體"/>
          <w:b/>
          <w:spacing w:val="10"/>
          <w:kern w:val="0"/>
          <w:sz w:val="22"/>
        </w:rPr>
        <w:br/>
      </w:r>
      <w:r w:rsidRPr="00C870E8">
        <w:rPr>
          <w:rFonts w:ascii="新細明體" w:hAnsi="新細明體" w:cs="新細明體"/>
          <w:spacing w:val="10"/>
          <w:kern w:val="0"/>
          <w:sz w:val="22"/>
        </w:rPr>
        <w:t>(</w:t>
      </w:r>
      <w:proofErr w:type="gramStart"/>
      <w:r w:rsidRPr="00C870E8">
        <w:rPr>
          <w:rFonts w:ascii="新細明體" w:hAnsi="新細明體" w:cs="新細明體"/>
          <w:spacing w:val="10"/>
          <w:kern w:val="0"/>
          <w:sz w:val="22"/>
        </w:rPr>
        <w:t>一</w:t>
      </w:r>
      <w:proofErr w:type="gramEnd"/>
      <w:r w:rsidRPr="00C870E8">
        <w:rPr>
          <w:rFonts w:ascii="新細明體" w:hAnsi="新細明體" w:cs="新細明體"/>
          <w:spacing w:val="10"/>
          <w:kern w:val="0"/>
          <w:sz w:val="22"/>
        </w:rPr>
        <w:t>)申請方式：以親自交付或掛號郵寄方式向行政院新聞局辦理。</w:t>
      </w:r>
      <w:r w:rsidRPr="00C870E8">
        <w:rPr>
          <w:rFonts w:ascii="新細明體" w:hAnsi="新細明體" w:cs="新細明體"/>
          <w:spacing w:val="10"/>
          <w:kern w:val="0"/>
          <w:sz w:val="22"/>
        </w:rPr>
        <w:br/>
        <w:t>(二)申請應備證明文件：</w:t>
      </w:r>
      <w:r w:rsidRPr="00C870E8">
        <w:rPr>
          <w:rFonts w:ascii="新細明體" w:hAnsi="新細明體" w:cs="新細明體"/>
          <w:spacing w:val="10"/>
          <w:kern w:val="0"/>
          <w:sz w:val="22"/>
        </w:rPr>
        <w:br/>
        <w:t>1.申請書一份(一式四聯)。</w:t>
      </w:r>
      <w:r w:rsidRPr="00C870E8">
        <w:rPr>
          <w:rFonts w:ascii="新細明體" w:hAnsi="新細明體" w:cs="新細明體"/>
          <w:spacing w:val="10"/>
          <w:kern w:val="0"/>
          <w:sz w:val="22"/>
        </w:rPr>
        <w:br/>
        <w:t xml:space="preserve">2.輸入許可或買賣證明文件(如信用狀、電匯單或進口結匯單據等)影本一份。 </w:t>
      </w:r>
      <w:r w:rsidRPr="00C870E8">
        <w:rPr>
          <w:rFonts w:ascii="新細明體" w:hAnsi="新細明體" w:cs="新細明體"/>
          <w:spacing w:val="10"/>
          <w:kern w:val="0"/>
          <w:sz w:val="22"/>
        </w:rPr>
        <w:br/>
        <w:t>3.型錄或說明書一份(如係外文應附中文說明)。</w:t>
      </w:r>
      <w:r w:rsidRPr="00C870E8">
        <w:rPr>
          <w:rFonts w:ascii="新細明體" w:hAnsi="新細明體" w:cs="新細明體"/>
          <w:spacing w:val="10"/>
          <w:kern w:val="0"/>
          <w:sz w:val="22"/>
        </w:rPr>
        <w:br/>
        <w:t>4.電影事業、廣播電視事業或廣播電視節目供應事業執照、登記證、許可證或籌設許可影本一份。</w:t>
      </w:r>
      <w:r w:rsidRPr="00C870E8">
        <w:rPr>
          <w:rFonts w:ascii="新細明體" w:hAnsi="新細明體" w:cs="新細明體"/>
          <w:spacing w:val="10"/>
          <w:kern w:val="0"/>
          <w:sz w:val="22"/>
        </w:rPr>
        <w:br/>
        <w:t>5. 公司登記證明文件或商業登記證明文件。</w:t>
      </w:r>
      <w:r w:rsidRPr="00C870E8">
        <w:rPr>
          <w:rFonts w:ascii="新細明體" w:hAnsi="新細明體" w:cs="新細明體"/>
          <w:spacing w:val="10"/>
          <w:kern w:val="0"/>
          <w:sz w:val="22"/>
        </w:rPr>
        <w:br/>
        <w:t>(三)申請書洽購：申請書每份新台幣</w:t>
      </w:r>
      <w:proofErr w:type="gramStart"/>
      <w:r w:rsidRPr="00C870E8">
        <w:rPr>
          <w:rFonts w:ascii="新細明體" w:hAnsi="新細明體" w:cs="新細明體"/>
          <w:spacing w:val="10"/>
          <w:kern w:val="0"/>
          <w:sz w:val="22"/>
        </w:rPr>
        <w:t>一</w:t>
      </w:r>
      <w:proofErr w:type="gramEnd"/>
      <w:r w:rsidRPr="00C870E8">
        <w:rPr>
          <w:rFonts w:ascii="新細明體" w:hAnsi="新細明體" w:cs="新細明體"/>
          <w:spacing w:val="10"/>
          <w:kern w:val="0"/>
          <w:sz w:val="22"/>
        </w:rPr>
        <w:t xml:space="preserve">百元整，請向本局一樓聯合服務櫃台購買或郵購，郵購請以「行政院新聞局」抬頭之郵政匯票辦理，並註明回寄地址。(不受理現金袋郵購) </w:t>
      </w:r>
      <w:r w:rsidRPr="00C870E8">
        <w:rPr>
          <w:rFonts w:ascii="新細明體" w:hAnsi="新細明體" w:cs="新細明體"/>
          <w:spacing w:val="10"/>
          <w:kern w:val="0"/>
          <w:sz w:val="22"/>
        </w:rPr>
        <w:br/>
        <w:t>(四)申請書填列須知：</w:t>
      </w:r>
      <w:r w:rsidRPr="00C870E8">
        <w:rPr>
          <w:rFonts w:ascii="新細明體" w:hAnsi="新細明體" w:cs="新細明體"/>
          <w:spacing w:val="10"/>
          <w:kern w:val="0"/>
          <w:sz w:val="22"/>
        </w:rPr>
        <w:br/>
      </w:r>
      <w:r w:rsidRPr="00C870E8">
        <w:rPr>
          <w:rFonts w:ascii="新細明體" w:hAnsi="新細明體" w:cs="新細明體"/>
          <w:spacing w:val="10"/>
          <w:kern w:val="0"/>
          <w:sz w:val="22"/>
        </w:rPr>
        <w:lastRenderedPageBreak/>
        <w:t>1.輸入證明文件如使用電匯單，且匯單上未註明匯款用途者，請加附發貨單（PROFORMA INVOICE）以為佐證。</w:t>
      </w:r>
      <w:r w:rsidRPr="00C870E8">
        <w:rPr>
          <w:rFonts w:ascii="新細明體" w:hAnsi="新細明體" w:cs="新細明體"/>
          <w:spacing w:val="10"/>
          <w:kern w:val="0"/>
          <w:sz w:val="22"/>
        </w:rPr>
        <w:br/>
        <w:t>2.同一批進口貨品可依項次分別填列於同一申請書中，不同批次及由不同關區進口</w:t>
      </w:r>
      <w:proofErr w:type="gramStart"/>
      <w:r w:rsidRPr="00C870E8">
        <w:rPr>
          <w:rFonts w:ascii="新細明體" w:hAnsi="新細明體" w:cs="新細明體"/>
          <w:spacing w:val="10"/>
          <w:kern w:val="0"/>
          <w:sz w:val="22"/>
        </w:rPr>
        <w:t>貨品均請分別</w:t>
      </w:r>
      <w:proofErr w:type="gramEnd"/>
      <w:r w:rsidRPr="00C870E8">
        <w:rPr>
          <w:rFonts w:ascii="新細明體" w:hAnsi="新細明體" w:cs="新細明體"/>
          <w:spacing w:val="10"/>
          <w:kern w:val="0"/>
          <w:sz w:val="22"/>
        </w:rPr>
        <w:t>申請。</w:t>
      </w:r>
      <w:r w:rsidRPr="00C870E8">
        <w:rPr>
          <w:rFonts w:ascii="新細明體" w:hAnsi="新細明體" w:cs="新細明體"/>
          <w:spacing w:val="10"/>
          <w:kern w:val="0"/>
          <w:sz w:val="22"/>
        </w:rPr>
        <w:br/>
        <w:t>(五)申請人應在貨物進口報關之前，向本局提出申請，</w:t>
      </w:r>
      <w:proofErr w:type="gramStart"/>
      <w:r w:rsidRPr="00C870E8">
        <w:rPr>
          <w:rFonts w:ascii="新細明體" w:hAnsi="新細明體" w:cs="新細明體"/>
          <w:spacing w:val="10"/>
          <w:kern w:val="0"/>
          <w:sz w:val="22"/>
        </w:rPr>
        <w:t>俾</w:t>
      </w:r>
      <w:proofErr w:type="gramEnd"/>
      <w:r w:rsidRPr="00C870E8">
        <w:rPr>
          <w:rFonts w:ascii="新細明體" w:hAnsi="新細明體" w:cs="新細明體"/>
          <w:spacing w:val="10"/>
          <w:kern w:val="0"/>
          <w:sz w:val="22"/>
        </w:rPr>
        <w:t>向海關辦理免繳關稅進口。</w:t>
      </w:r>
      <w:r w:rsidRPr="00C870E8">
        <w:rPr>
          <w:rFonts w:ascii="新細明體" w:hAnsi="新細明體" w:cs="新細明體"/>
          <w:spacing w:val="10"/>
          <w:kern w:val="0"/>
          <w:sz w:val="22"/>
        </w:rPr>
        <w:br/>
        <w:t>(六)免繳關稅證明書自本局核發之日起，有效期限六個月。</w:t>
      </w:r>
      <w:r w:rsidRPr="00C870E8">
        <w:rPr>
          <w:rFonts w:ascii="新細明體" w:hAnsi="新細明體" w:cs="新細明體"/>
          <w:spacing w:val="10"/>
          <w:kern w:val="0"/>
          <w:sz w:val="22"/>
        </w:rPr>
        <w:br/>
        <w:t>(七)免繳關稅進口貨物因轉讓或變更用途，應依關稅法第三十一條暨免稅或從低徵稅 之進口貨物補稅辦法第二條之相關規定，向海關辦理補稅。</w:t>
      </w:r>
      <w:r w:rsidRPr="00C870E8">
        <w:rPr>
          <w:rFonts w:ascii="新細明體" w:hAnsi="新細明體" w:cs="新細明體"/>
          <w:spacing w:val="10"/>
          <w:kern w:val="0"/>
          <w:sz w:val="22"/>
        </w:rPr>
        <w:br/>
        <w:t>(八)本局核發之免繳關稅證明書，僅證明進口貨品係屬影視媒體專用器材設備或車輛， 至進口貨品</w:t>
      </w:r>
      <w:proofErr w:type="gramStart"/>
      <w:r w:rsidRPr="00C870E8">
        <w:rPr>
          <w:rFonts w:ascii="新細明體" w:hAnsi="新細明體" w:cs="新細明體"/>
          <w:spacing w:val="10"/>
          <w:kern w:val="0"/>
          <w:sz w:val="22"/>
        </w:rPr>
        <w:t>稅則號別及</w:t>
      </w:r>
      <w:proofErr w:type="gramEnd"/>
      <w:r w:rsidRPr="00C870E8">
        <w:rPr>
          <w:rFonts w:ascii="新細明體" w:hAnsi="新細明體" w:cs="新細明體"/>
          <w:spacing w:val="10"/>
          <w:kern w:val="0"/>
          <w:sz w:val="22"/>
        </w:rPr>
        <w:t>稅額認定，仍由海關依權責逕行辦理。</w:t>
      </w:r>
    </w:p>
    <w:p w:rsidR="00C870E8" w:rsidRPr="00C870E8" w:rsidRDefault="00C870E8" w:rsidP="00C870E8">
      <w:pPr>
        <w:widowControl/>
        <w:spacing w:before="100" w:beforeAutospacing="1" w:after="100" w:afterAutospacing="1" w:line="408" w:lineRule="auto"/>
        <w:rPr>
          <w:rFonts w:ascii="新細明體" w:hAnsi="新細明體" w:cs="新細明體"/>
          <w:spacing w:val="10"/>
          <w:kern w:val="0"/>
          <w:sz w:val="22"/>
        </w:rPr>
      </w:pPr>
      <w:r w:rsidRPr="00C870E8">
        <w:rPr>
          <w:rFonts w:ascii="新細明體" w:hAnsi="新細明體" w:cs="新細明體"/>
          <w:b/>
          <w:spacing w:val="10"/>
          <w:kern w:val="0"/>
          <w:sz w:val="22"/>
        </w:rPr>
        <w:t>四.審核原則</w:t>
      </w:r>
      <w:r w:rsidRPr="00C870E8">
        <w:rPr>
          <w:rFonts w:ascii="新細明體" w:hAnsi="新細明體" w:cs="新細明體"/>
          <w:b/>
          <w:spacing w:val="10"/>
          <w:kern w:val="0"/>
          <w:sz w:val="22"/>
        </w:rPr>
        <w:br/>
      </w:r>
      <w:r w:rsidRPr="00C870E8">
        <w:rPr>
          <w:rFonts w:ascii="新細明體" w:hAnsi="新細明體" w:cs="新細明體"/>
          <w:spacing w:val="10"/>
          <w:kern w:val="0"/>
          <w:sz w:val="22"/>
        </w:rPr>
        <w:t>(</w:t>
      </w:r>
      <w:proofErr w:type="gramStart"/>
      <w:r w:rsidRPr="00C870E8">
        <w:rPr>
          <w:rFonts w:ascii="新細明體" w:hAnsi="新細明體" w:cs="新細明體"/>
          <w:spacing w:val="10"/>
          <w:kern w:val="0"/>
          <w:sz w:val="22"/>
        </w:rPr>
        <w:t>一</w:t>
      </w:r>
      <w:proofErr w:type="gramEnd"/>
      <w:r w:rsidRPr="00C870E8">
        <w:rPr>
          <w:rFonts w:ascii="新細明體" w:hAnsi="新細明體" w:cs="新細明體"/>
          <w:spacing w:val="10"/>
          <w:kern w:val="0"/>
          <w:sz w:val="22"/>
        </w:rPr>
        <w:t>)申請案件於收件後，經審核資料齊全無誤者由本局發給免繳關稅證明書； 資料</w:t>
      </w:r>
      <w:proofErr w:type="gramStart"/>
      <w:r w:rsidRPr="00C870E8">
        <w:rPr>
          <w:rFonts w:ascii="新細明體" w:hAnsi="新細明體" w:cs="新細明體"/>
          <w:spacing w:val="10"/>
          <w:kern w:val="0"/>
          <w:sz w:val="22"/>
        </w:rPr>
        <w:t>不齊且得</w:t>
      </w:r>
      <w:proofErr w:type="gramEnd"/>
      <w:r w:rsidRPr="00C870E8">
        <w:rPr>
          <w:rFonts w:ascii="新細明體" w:hAnsi="新細明體" w:cs="新細明體"/>
          <w:spacing w:val="10"/>
          <w:kern w:val="0"/>
          <w:sz w:val="22"/>
        </w:rPr>
        <w:t>補正者，得限期補正、逾期未補正、補正不實或不得補正者， 駁回其申請。</w:t>
      </w:r>
      <w:r w:rsidRPr="00C870E8">
        <w:rPr>
          <w:rFonts w:ascii="新細明體" w:hAnsi="新細明體" w:cs="新細明體"/>
          <w:spacing w:val="10"/>
          <w:kern w:val="0"/>
          <w:sz w:val="22"/>
        </w:rPr>
        <w:br/>
        <w:t>(二)本局得視需要諮詢相關主管機關或影視事業公（協）會團體或專家學者之意見， 或邀請上述代表或人士召開會議，作為本局審核發證之參考依據。</w:t>
      </w:r>
    </w:p>
    <w:p w:rsidR="00BB3062" w:rsidRPr="003C01C0" w:rsidRDefault="00C870E8" w:rsidP="003C01C0">
      <w:pPr>
        <w:widowControl/>
        <w:spacing w:before="100" w:beforeAutospacing="1" w:after="100" w:afterAutospacing="1" w:line="408" w:lineRule="auto"/>
        <w:rPr>
          <w:rFonts w:ascii="新細明體" w:hAnsi="新細明體" w:cs="新細明體"/>
          <w:b/>
          <w:spacing w:val="10"/>
          <w:kern w:val="0"/>
          <w:sz w:val="22"/>
        </w:rPr>
      </w:pPr>
      <w:r w:rsidRPr="00C870E8">
        <w:rPr>
          <w:rFonts w:ascii="新細明體" w:hAnsi="新細明體" w:cs="新細明體"/>
          <w:b/>
          <w:spacing w:val="10"/>
          <w:kern w:val="0"/>
          <w:sz w:val="22"/>
        </w:rPr>
        <w:t>五.因組織法變更，本需知有關本局之權利及義務，由承接本需知業務之行政機關概括承受。</w:t>
      </w:r>
    </w:p>
    <w:sectPr w:rsidR="00BB3062" w:rsidRPr="003C01C0" w:rsidSect="00C870E8">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36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A3" w:rsidRDefault="00046EA3" w:rsidP="003C01C0">
      <w:r>
        <w:separator/>
      </w:r>
    </w:p>
  </w:endnote>
  <w:endnote w:type="continuationSeparator" w:id="0">
    <w:p w:rsidR="00046EA3" w:rsidRDefault="00046EA3" w:rsidP="003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0" w:rsidRDefault="003C01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0" w:rsidRDefault="003C01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0" w:rsidRDefault="003C01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A3" w:rsidRDefault="00046EA3" w:rsidP="003C01C0">
      <w:r>
        <w:separator/>
      </w:r>
    </w:p>
  </w:footnote>
  <w:footnote w:type="continuationSeparator" w:id="0">
    <w:p w:rsidR="00046EA3" w:rsidRDefault="00046EA3" w:rsidP="003C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0" w:rsidRDefault="003C01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0" w:rsidRDefault="003C01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0" w:rsidRDefault="003C01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E8"/>
    <w:rsid w:val="00046EA3"/>
    <w:rsid w:val="00237071"/>
    <w:rsid w:val="002C1D91"/>
    <w:rsid w:val="003C01C0"/>
    <w:rsid w:val="00400CE2"/>
    <w:rsid w:val="00516760"/>
    <w:rsid w:val="005A10F9"/>
    <w:rsid w:val="00643FC0"/>
    <w:rsid w:val="00A1322C"/>
    <w:rsid w:val="00AB442B"/>
    <w:rsid w:val="00BB3062"/>
    <w:rsid w:val="00C114BD"/>
    <w:rsid w:val="00C870E8"/>
    <w:rsid w:val="00D72DFC"/>
    <w:rsid w:val="00FC3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DD8B7-BCB1-433E-9FBA-23584D55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00" w:lineRule="exact"/>
        <w:ind w:leftChars="400" w:left="1523" w:hanging="11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F9"/>
    <w:pPr>
      <w:widowControl w:val="0"/>
      <w:spacing w:line="240" w:lineRule="auto"/>
      <w:ind w:leftChars="0" w:left="0" w:firstLine="0"/>
    </w:pPr>
    <w:rPr>
      <w:rFonts w:ascii="Times New Roman" w:eastAsia="新細明體" w:hAnsi="Times New Roman" w:cs="Times New Roman"/>
      <w:szCs w:val="24"/>
    </w:rPr>
  </w:style>
  <w:style w:type="paragraph" w:styleId="3">
    <w:name w:val="heading 3"/>
    <w:basedOn w:val="a"/>
    <w:link w:val="30"/>
    <w:uiPriority w:val="9"/>
    <w:qFormat/>
    <w:rsid w:val="00C870E8"/>
    <w:pPr>
      <w:widowControl/>
      <w:spacing w:after="81" w:line="360" w:lineRule="auto"/>
      <w:outlineLvl w:val="2"/>
    </w:pPr>
    <w:rPr>
      <w:rFonts w:ascii="新細明體" w:hAnsi="新細明體" w:cs="新細明體"/>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870E8"/>
    <w:rPr>
      <w:rFonts w:ascii="新細明體" w:eastAsia="新細明體" w:hAnsi="新細明體" w:cs="新細明體"/>
      <w:color w:val="000000"/>
      <w:kern w:val="0"/>
      <w:sz w:val="15"/>
      <w:szCs w:val="15"/>
    </w:rPr>
  </w:style>
  <w:style w:type="character" w:styleId="a3">
    <w:name w:val="Hyperlink"/>
    <w:basedOn w:val="a0"/>
    <w:uiPriority w:val="99"/>
    <w:semiHidden/>
    <w:unhideWhenUsed/>
    <w:rsid w:val="00C870E8"/>
    <w:rPr>
      <w:color w:val="0000FF"/>
      <w:u w:val="single"/>
    </w:rPr>
  </w:style>
  <w:style w:type="paragraph" w:styleId="a4">
    <w:name w:val="header"/>
    <w:basedOn w:val="a"/>
    <w:link w:val="a5"/>
    <w:uiPriority w:val="99"/>
    <w:semiHidden/>
    <w:unhideWhenUsed/>
    <w:rsid w:val="003C01C0"/>
    <w:pPr>
      <w:tabs>
        <w:tab w:val="center" w:pos="4153"/>
        <w:tab w:val="right" w:pos="8306"/>
      </w:tabs>
      <w:snapToGrid w:val="0"/>
    </w:pPr>
    <w:rPr>
      <w:sz w:val="20"/>
      <w:szCs w:val="20"/>
    </w:rPr>
  </w:style>
  <w:style w:type="character" w:customStyle="1" w:styleId="a5">
    <w:name w:val="頁首 字元"/>
    <w:basedOn w:val="a0"/>
    <w:link w:val="a4"/>
    <w:uiPriority w:val="99"/>
    <w:semiHidden/>
    <w:rsid w:val="003C01C0"/>
    <w:rPr>
      <w:rFonts w:ascii="Times New Roman" w:eastAsia="新細明體" w:hAnsi="Times New Roman" w:cs="Times New Roman"/>
      <w:sz w:val="20"/>
      <w:szCs w:val="20"/>
    </w:rPr>
  </w:style>
  <w:style w:type="paragraph" w:styleId="a6">
    <w:name w:val="footer"/>
    <w:basedOn w:val="a"/>
    <w:link w:val="a7"/>
    <w:uiPriority w:val="99"/>
    <w:semiHidden/>
    <w:unhideWhenUsed/>
    <w:rsid w:val="003C01C0"/>
    <w:pPr>
      <w:tabs>
        <w:tab w:val="center" w:pos="4153"/>
        <w:tab w:val="right" w:pos="8306"/>
      </w:tabs>
      <w:snapToGrid w:val="0"/>
    </w:pPr>
    <w:rPr>
      <w:sz w:val="20"/>
      <w:szCs w:val="20"/>
    </w:rPr>
  </w:style>
  <w:style w:type="character" w:customStyle="1" w:styleId="a7">
    <w:name w:val="頁尾 字元"/>
    <w:basedOn w:val="a0"/>
    <w:link w:val="a6"/>
    <w:uiPriority w:val="99"/>
    <w:semiHidden/>
    <w:rsid w:val="003C01C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4074">
      <w:bodyDiv w:val="1"/>
      <w:marLeft w:val="0"/>
      <w:marRight w:val="0"/>
      <w:marTop w:val="0"/>
      <w:marBottom w:val="0"/>
      <w:divBdr>
        <w:top w:val="none" w:sz="0" w:space="0" w:color="auto"/>
        <w:left w:val="none" w:sz="0" w:space="0" w:color="auto"/>
        <w:bottom w:val="none" w:sz="0" w:space="0" w:color="auto"/>
        <w:right w:val="none" w:sz="0" w:space="0" w:color="auto"/>
      </w:divBdr>
      <w:divsChild>
        <w:div w:id="2133278003">
          <w:marLeft w:val="0"/>
          <w:marRight w:val="0"/>
          <w:marTop w:val="0"/>
          <w:marBottom w:val="0"/>
          <w:divBdr>
            <w:top w:val="none" w:sz="0" w:space="0" w:color="auto"/>
            <w:left w:val="none" w:sz="0" w:space="0" w:color="auto"/>
            <w:bottom w:val="none" w:sz="0" w:space="0" w:color="auto"/>
            <w:right w:val="none" w:sz="0" w:space="0" w:color="auto"/>
          </w:divBdr>
          <w:divsChild>
            <w:div w:id="2064479173">
              <w:marLeft w:val="0"/>
              <w:marRight w:val="0"/>
              <w:marTop w:val="0"/>
              <w:marBottom w:val="0"/>
              <w:divBdr>
                <w:top w:val="none" w:sz="0" w:space="0" w:color="auto"/>
                <w:left w:val="none" w:sz="0" w:space="0" w:color="auto"/>
                <w:bottom w:val="none" w:sz="0" w:space="0" w:color="auto"/>
                <w:right w:val="none" w:sz="0" w:space="0" w:color="auto"/>
              </w:divBdr>
              <w:divsChild>
                <w:div w:id="11891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is.nat.gov.tw/pub/cmpy/cmpyInfoListAction.d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周毓昕</cp:lastModifiedBy>
  <cp:revision>2</cp:revision>
  <dcterms:created xsi:type="dcterms:W3CDTF">2016-09-23T02:23:00Z</dcterms:created>
  <dcterms:modified xsi:type="dcterms:W3CDTF">2016-09-23T02:23:00Z</dcterms:modified>
</cp:coreProperties>
</file>