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15" w:rsidRPr="00FB7857" w:rsidRDefault="00373115" w:rsidP="00373115">
      <w:pPr>
        <w:widowControl/>
        <w:spacing w:before="100" w:beforeAutospacing="1" w:after="100" w:afterAutospacing="1"/>
        <w:jc w:val="center"/>
        <w:rPr>
          <w:rFonts w:ascii="Cambria" w:eastAsia="新細明體" w:hAnsi="Cambria" w:cs="Times New Roman"/>
          <w:kern w:val="0"/>
          <w:sz w:val="28"/>
          <w:szCs w:val="28"/>
        </w:rPr>
      </w:pPr>
      <w:bookmarkStart w:id="0" w:name="_GoBack"/>
      <w:bookmarkEnd w:id="0"/>
      <w:r w:rsidRPr="00FB7857">
        <w:rPr>
          <w:rFonts w:ascii="Cambria" w:eastAsia="新細明體" w:hAnsi="Cambria" w:cs="Times New Roman"/>
          <w:b/>
          <w:bCs/>
          <w:kern w:val="0"/>
          <w:sz w:val="28"/>
          <w:szCs w:val="28"/>
        </w:rPr>
        <w:t>Ministry of Culture of the Republic of China (Taiwan)</w:t>
      </w:r>
    </w:p>
    <w:p w:rsidR="00373115" w:rsidRPr="00FB7857" w:rsidRDefault="00373115" w:rsidP="00373115">
      <w:pPr>
        <w:widowControl/>
        <w:spacing w:before="100" w:beforeAutospacing="1" w:after="100" w:afterAutospacing="1"/>
        <w:jc w:val="center"/>
        <w:rPr>
          <w:rFonts w:ascii="Cambria" w:eastAsia="新細明體" w:hAnsi="Cambria" w:cs="Times New Roman"/>
          <w:b/>
          <w:i/>
          <w:iCs/>
          <w:kern w:val="0"/>
          <w:szCs w:val="24"/>
        </w:rPr>
      </w:pPr>
      <w:r w:rsidRPr="00FB7857">
        <w:rPr>
          <w:rFonts w:ascii="Cambria" w:eastAsia="新細明體" w:hAnsi="Cambria" w:cs="Times New Roman"/>
          <w:b/>
          <w:bCs/>
          <w:kern w:val="0"/>
          <w:szCs w:val="24"/>
        </w:rPr>
        <w:t> </w:t>
      </w:r>
      <w:r w:rsidR="00B51F1A" w:rsidRPr="00FB7857">
        <w:rPr>
          <w:rFonts w:ascii="Cambria" w:eastAsia="新細明體" w:hAnsi="Cambria" w:cs="Times New Roman"/>
          <w:b/>
          <w:i/>
          <w:iCs/>
          <w:kern w:val="0"/>
          <w:szCs w:val="24"/>
        </w:rPr>
        <w:t>Guidelines and Procedures</w:t>
      </w:r>
      <w:r w:rsidRPr="00FB7857">
        <w:rPr>
          <w:rFonts w:ascii="Cambria" w:eastAsia="新細明體" w:hAnsi="Cambria" w:cs="Times New Roman"/>
          <w:b/>
          <w:i/>
          <w:iCs/>
          <w:kern w:val="0"/>
          <w:szCs w:val="24"/>
        </w:rPr>
        <w:t xml:space="preserve"> </w:t>
      </w:r>
      <w:r w:rsidR="0011350D" w:rsidRPr="00FB7857">
        <w:rPr>
          <w:rFonts w:ascii="Cambria" w:eastAsia="新細明體" w:hAnsi="Cambria" w:cs="Times New Roman"/>
          <w:b/>
          <w:i/>
          <w:iCs/>
          <w:kern w:val="0"/>
          <w:szCs w:val="24"/>
        </w:rPr>
        <w:t>regarding</w:t>
      </w:r>
      <w:r w:rsidRPr="00FB7857">
        <w:rPr>
          <w:rFonts w:ascii="Cambria" w:eastAsia="新細明體" w:hAnsi="Cambria" w:cs="Times New Roman"/>
          <w:b/>
          <w:i/>
          <w:iCs/>
          <w:kern w:val="0"/>
          <w:szCs w:val="24"/>
        </w:rPr>
        <w:t xml:space="preserve"> Grants for Cultural Exchanges and Collaborative Projects between Taiwan and Latin America</w:t>
      </w:r>
    </w:p>
    <w:p w:rsidR="00B34FC8" w:rsidRPr="00FB7857" w:rsidRDefault="007D611C" w:rsidP="00B34FC8">
      <w:pPr>
        <w:widowControl/>
        <w:spacing w:before="100" w:beforeAutospacing="1" w:after="100" w:afterAutospacing="1"/>
        <w:rPr>
          <w:rFonts w:ascii="Cambria" w:eastAsia="新細明體" w:hAnsi="Cambria" w:cs="Times New Roman"/>
          <w:kern w:val="0"/>
          <w:szCs w:val="24"/>
        </w:rPr>
      </w:pPr>
      <w:r w:rsidRPr="000531D4">
        <w:rPr>
          <w:rFonts w:ascii="Cambria" w:eastAsia="新細明體" w:hAnsi="Cambria" w:cs="Times New Roman"/>
          <w:b/>
          <w:kern w:val="0"/>
          <w:szCs w:val="24"/>
        </w:rPr>
        <w:t>I.</w:t>
      </w:r>
      <w:r>
        <w:rPr>
          <w:rFonts w:ascii="Cambria" w:eastAsia="新細明體" w:hAnsi="Cambria" w:cs="Times New Roman"/>
          <w:kern w:val="0"/>
          <w:szCs w:val="24"/>
        </w:rPr>
        <w:t xml:space="preserve"> </w:t>
      </w:r>
      <w:r w:rsidR="00B34FC8" w:rsidRPr="00FB7857">
        <w:rPr>
          <w:rFonts w:ascii="Cambria" w:eastAsia="新細明體" w:hAnsi="Cambria" w:cs="Times New Roman"/>
          <w:kern w:val="0"/>
          <w:szCs w:val="24"/>
        </w:rPr>
        <w:t xml:space="preserve">The Ministry of Culture (“the Ministry”) has drafted these </w:t>
      </w:r>
      <w:r w:rsidR="00B51F1A" w:rsidRPr="00FB7857">
        <w:rPr>
          <w:rFonts w:ascii="Cambria" w:eastAsia="新細明體" w:hAnsi="Cambria" w:cs="Times New Roman"/>
          <w:kern w:val="0"/>
          <w:szCs w:val="24"/>
        </w:rPr>
        <w:t>Guidelines and Procedures</w:t>
      </w:r>
      <w:r w:rsidR="00B34FC8" w:rsidRPr="00FB7857">
        <w:rPr>
          <w:rFonts w:ascii="Cambria" w:eastAsia="新細明體" w:hAnsi="Cambria" w:cs="Times New Roman"/>
          <w:kern w:val="0"/>
          <w:szCs w:val="24"/>
        </w:rPr>
        <w:t xml:space="preserve"> to </w:t>
      </w:r>
      <w:r w:rsidR="00212590" w:rsidRPr="00FB7857">
        <w:rPr>
          <w:rFonts w:ascii="Cambria" w:eastAsia="新細明體" w:hAnsi="Cambria" w:cs="Times New Roman"/>
          <w:kern w:val="0"/>
          <w:szCs w:val="24"/>
        </w:rPr>
        <w:t>expand and develop</w:t>
      </w:r>
      <w:r w:rsidR="00B34FC8" w:rsidRPr="00FB7857">
        <w:rPr>
          <w:rFonts w:ascii="Cambria" w:eastAsia="新細明體" w:hAnsi="Cambria" w:cs="Times New Roman"/>
          <w:kern w:val="0"/>
          <w:szCs w:val="24"/>
        </w:rPr>
        <w:t xml:space="preserve"> bilateral exchanges</w:t>
      </w:r>
      <w:r w:rsidR="00212590" w:rsidRPr="00FB7857">
        <w:rPr>
          <w:rFonts w:ascii="Cambria" w:eastAsia="新細明體" w:hAnsi="Cambria" w:cs="Times New Roman"/>
          <w:kern w:val="0"/>
          <w:szCs w:val="24"/>
        </w:rPr>
        <w:t xml:space="preserve"> between the Republic of China (Taiwan) and Latin American nations and to promote mutual understanding in such areas as culture, history and social development</w:t>
      </w:r>
      <w:r w:rsidR="00B34FC8" w:rsidRPr="00FB7857">
        <w:rPr>
          <w:rFonts w:ascii="Cambria" w:eastAsia="新細明體" w:hAnsi="Cambria" w:cs="Times New Roman"/>
          <w:kern w:val="0"/>
          <w:szCs w:val="24"/>
        </w:rPr>
        <w:t>.</w:t>
      </w:r>
    </w:p>
    <w:p w:rsidR="00B34FC8" w:rsidRPr="00FB7857" w:rsidRDefault="007D611C" w:rsidP="00B34FC8">
      <w:pPr>
        <w:widowControl/>
        <w:spacing w:before="100" w:beforeAutospacing="1" w:after="100" w:afterAutospacing="1"/>
        <w:rPr>
          <w:rFonts w:ascii="Cambria" w:eastAsia="新細明體" w:hAnsi="Cambria" w:cs="Times New Roman"/>
          <w:kern w:val="0"/>
          <w:szCs w:val="24"/>
        </w:rPr>
      </w:pPr>
      <w:r w:rsidRPr="000531D4">
        <w:rPr>
          <w:rFonts w:ascii="Cambria" w:eastAsia="新細明體" w:hAnsi="Cambria" w:cs="Times New Roman"/>
          <w:b/>
          <w:kern w:val="0"/>
          <w:szCs w:val="24"/>
        </w:rPr>
        <w:t>II.</w:t>
      </w:r>
      <w:r>
        <w:rPr>
          <w:rFonts w:ascii="Cambria" w:eastAsia="新細明體" w:hAnsi="Cambria" w:cs="Times New Roman"/>
          <w:kern w:val="0"/>
          <w:szCs w:val="24"/>
        </w:rPr>
        <w:t xml:space="preserve"> </w:t>
      </w:r>
      <w:r w:rsidR="00B34FC8" w:rsidRPr="00FB7857">
        <w:rPr>
          <w:rFonts w:ascii="Cambria" w:eastAsia="新細明體" w:hAnsi="Cambria" w:cs="Times New Roman"/>
          <w:kern w:val="0"/>
          <w:szCs w:val="24"/>
        </w:rPr>
        <w:t xml:space="preserve">The </w:t>
      </w:r>
      <w:r w:rsidR="001912D3" w:rsidRPr="00FB7857">
        <w:rPr>
          <w:rFonts w:ascii="Cambria" w:eastAsia="新細明體" w:hAnsi="Cambria" w:cs="Times New Roman"/>
          <w:kern w:val="0"/>
          <w:szCs w:val="24"/>
        </w:rPr>
        <w:t>term</w:t>
      </w:r>
      <w:r w:rsidR="00B34FC8" w:rsidRPr="00FB7857">
        <w:rPr>
          <w:rFonts w:ascii="Cambria" w:eastAsia="新細明體" w:hAnsi="Cambria" w:cs="Times New Roman"/>
          <w:kern w:val="0"/>
          <w:szCs w:val="24"/>
        </w:rPr>
        <w:t xml:space="preserve"> “</w:t>
      </w:r>
      <w:r w:rsidR="001912D3" w:rsidRPr="00FB7857">
        <w:rPr>
          <w:rFonts w:ascii="Cambria" w:eastAsia="新細明體" w:hAnsi="Cambria" w:cs="Times New Roman"/>
          <w:kern w:val="0"/>
          <w:szCs w:val="24"/>
        </w:rPr>
        <w:t>Latin American</w:t>
      </w:r>
      <w:r w:rsidR="00B34FC8" w:rsidRPr="00FB7857">
        <w:rPr>
          <w:rFonts w:ascii="Cambria" w:eastAsia="新細明體" w:hAnsi="Cambria" w:cs="Times New Roman"/>
          <w:kern w:val="0"/>
          <w:szCs w:val="24"/>
        </w:rPr>
        <w:t xml:space="preserve"> nations” as used in these </w:t>
      </w:r>
      <w:r w:rsidR="00B51F1A" w:rsidRPr="00FB7857">
        <w:rPr>
          <w:rFonts w:ascii="Cambria" w:eastAsia="新細明體" w:hAnsi="Cambria" w:cs="Times New Roman"/>
          <w:kern w:val="0"/>
          <w:szCs w:val="24"/>
        </w:rPr>
        <w:t>Guidelines and Procedures</w:t>
      </w:r>
      <w:r w:rsidR="00B34FC8" w:rsidRPr="00FB7857">
        <w:rPr>
          <w:rFonts w:ascii="Cambria" w:eastAsia="新細明體" w:hAnsi="Cambria" w:cs="Times New Roman"/>
          <w:kern w:val="0"/>
          <w:szCs w:val="24"/>
        </w:rPr>
        <w:t xml:space="preserve"> specifies the </w:t>
      </w:r>
      <w:r w:rsidR="001912D3" w:rsidRPr="00FB7857">
        <w:rPr>
          <w:rFonts w:ascii="Cambria" w:eastAsia="新細明體" w:hAnsi="Cambria" w:cs="Times New Roman"/>
          <w:kern w:val="0"/>
          <w:szCs w:val="24"/>
        </w:rPr>
        <w:t>33</w:t>
      </w:r>
      <w:r w:rsidR="00B34FC8" w:rsidRPr="00FB7857">
        <w:rPr>
          <w:rFonts w:ascii="Cambria" w:eastAsia="新細明體" w:hAnsi="Cambria" w:cs="Times New Roman"/>
          <w:kern w:val="0"/>
          <w:szCs w:val="24"/>
        </w:rPr>
        <w:t xml:space="preserve"> nations </w:t>
      </w:r>
      <w:r w:rsidR="001912D3" w:rsidRPr="00FB7857">
        <w:rPr>
          <w:rFonts w:ascii="Cambria" w:eastAsia="新細明體" w:hAnsi="Cambria" w:cs="Times New Roman"/>
          <w:kern w:val="0"/>
          <w:szCs w:val="24"/>
        </w:rPr>
        <w:t>in the Latin America</w:t>
      </w:r>
      <w:r w:rsidR="00F640DE">
        <w:rPr>
          <w:rFonts w:ascii="Cambria" w:eastAsia="新細明體" w:hAnsi="Cambria" w:cs="Times New Roman"/>
          <w:kern w:val="0"/>
          <w:szCs w:val="24"/>
        </w:rPr>
        <w:t>n</w:t>
      </w:r>
      <w:r w:rsidR="001912D3" w:rsidRPr="00FB7857">
        <w:rPr>
          <w:rFonts w:ascii="Cambria" w:eastAsia="新細明體" w:hAnsi="Cambria" w:cs="Times New Roman"/>
          <w:kern w:val="0"/>
          <w:szCs w:val="24"/>
        </w:rPr>
        <w:t xml:space="preserve"> and Caribbean areas listed on the ROC Ministry of Foreign Affairs</w:t>
      </w:r>
      <w:r w:rsidR="00F640DE">
        <w:rPr>
          <w:rFonts w:ascii="Cambria" w:eastAsia="新細明體" w:hAnsi="Cambria" w:cs="Times New Roman"/>
          <w:kern w:val="0"/>
          <w:szCs w:val="24"/>
        </w:rPr>
        <w:t>’</w:t>
      </w:r>
      <w:r w:rsidR="001912D3" w:rsidRPr="00FB7857">
        <w:rPr>
          <w:rFonts w:ascii="Cambria" w:eastAsia="新細明體" w:hAnsi="Cambria" w:cs="Times New Roman"/>
          <w:kern w:val="0"/>
          <w:szCs w:val="24"/>
        </w:rPr>
        <w:t xml:space="preserve"> website (see appended list)</w:t>
      </w:r>
      <w:r w:rsidR="00B34FC8" w:rsidRPr="00FB7857">
        <w:rPr>
          <w:rFonts w:ascii="Cambria" w:eastAsia="新細明體" w:hAnsi="Cambria" w:cs="Times New Roman"/>
          <w:kern w:val="0"/>
          <w:szCs w:val="24"/>
        </w:rPr>
        <w:t>.</w:t>
      </w:r>
    </w:p>
    <w:p w:rsidR="00B34FC8" w:rsidRPr="00FB7857" w:rsidRDefault="006D1F07" w:rsidP="00B34FC8">
      <w:pPr>
        <w:widowControl/>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The term “cultural exchange</w:t>
      </w:r>
      <w:r w:rsidR="00614BD4" w:rsidRPr="00FB7857">
        <w:rPr>
          <w:rFonts w:ascii="Cambria" w:eastAsia="新細明體" w:hAnsi="Cambria" w:cs="Times New Roman"/>
          <w:kern w:val="0"/>
          <w:szCs w:val="24"/>
        </w:rPr>
        <w:t>s and</w:t>
      </w:r>
      <w:r w:rsidRPr="00FB7857">
        <w:rPr>
          <w:rFonts w:ascii="Cambria" w:eastAsia="新細明體" w:hAnsi="Cambria" w:cs="Times New Roman"/>
          <w:kern w:val="0"/>
          <w:szCs w:val="24"/>
        </w:rPr>
        <w:t xml:space="preserve"> </w:t>
      </w:r>
      <w:r w:rsidR="00614BD4" w:rsidRPr="00FB7857">
        <w:rPr>
          <w:rFonts w:ascii="Cambria" w:eastAsia="新細明體" w:hAnsi="Cambria" w:cs="Times New Roman"/>
          <w:kern w:val="0"/>
          <w:szCs w:val="24"/>
        </w:rPr>
        <w:t>collaborative</w:t>
      </w:r>
      <w:r w:rsidRPr="00FB7857">
        <w:rPr>
          <w:rFonts w:ascii="Cambria" w:eastAsia="新細明體" w:hAnsi="Cambria" w:cs="Times New Roman"/>
          <w:kern w:val="0"/>
          <w:szCs w:val="24"/>
        </w:rPr>
        <w:t xml:space="preserve"> </w:t>
      </w:r>
      <w:r w:rsidR="00614BD4" w:rsidRPr="00FB7857">
        <w:rPr>
          <w:rFonts w:ascii="Cambria" w:eastAsia="新細明體" w:hAnsi="Cambria" w:cs="Times New Roman"/>
          <w:kern w:val="0"/>
          <w:szCs w:val="24"/>
        </w:rPr>
        <w:t>projects</w:t>
      </w:r>
      <w:r w:rsidRPr="00FB7857">
        <w:rPr>
          <w:rFonts w:ascii="Cambria" w:eastAsia="新細明體" w:hAnsi="Cambria" w:cs="Times New Roman"/>
          <w:kern w:val="0"/>
          <w:szCs w:val="24"/>
        </w:rPr>
        <w:t xml:space="preserve">” as used in these </w:t>
      </w:r>
      <w:r w:rsidR="00B51F1A" w:rsidRPr="00FB7857">
        <w:rPr>
          <w:rFonts w:ascii="Cambria" w:eastAsia="新細明體" w:hAnsi="Cambria" w:cs="Times New Roman"/>
          <w:kern w:val="0"/>
          <w:szCs w:val="24"/>
        </w:rPr>
        <w:t>Guidelines and Procedures</w:t>
      </w:r>
      <w:r w:rsidRPr="00FB7857">
        <w:rPr>
          <w:rFonts w:ascii="Cambria" w:eastAsia="新細明體" w:hAnsi="Cambria" w:cs="Times New Roman"/>
          <w:kern w:val="0"/>
          <w:szCs w:val="24"/>
        </w:rPr>
        <w:t xml:space="preserve"> specifies </w:t>
      </w:r>
      <w:r w:rsidR="00B228D6" w:rsidRPr="00FB7857">
        <w:rPr>
          <w:rFonts w:ascii="Cambria" w:eastAsia="新細明體" w:hAnsi="Cambria" w:cs="Times New Roman"/>
          <w:kern w:val="0"/>
          <w:szCs w:val="24"/>
        </w:rPr>
        <w:t>exhibitions</w:t>
      </w:r>
      <w:r w:rsidRPr="00FB7857">
        <w:rPr>
          <w:rFonts w:ascii="Cambria" w:eastAsia="新細明體" w:hAnsi="Cambria" w:cs="Times New Roman"/>
          <w:kern w:val="0"/>
          <w:szCs w:val="24"/>
        </w:rPr>
        <w:t>, performance</w:t>
      </w:r>
      <w:r w:rsidR="00F640DE">
        <w:rPr>
          <w:rFonts w:ascii="Cambria" w:eastAsia="新細明體" w:hAnsi="Cambria" w:cs="Times New Roman"/>
          <w:kern w:val="0"/>
          <w:szCs w:val="24"/>
        </w:rPr>
        <w:t>s</w:t>
      </w:r>
      <w:r w:rsidRPr="00FB7857">
        <w:rPr>
          <w:rFonts w:ascii="Cambria" w:eastAsia="新細明體" w:hAnsi="Cambria" w:cs="Times New Roman"/>
          <w:kern w:val="0"/>
          <w:szCs w:val="24"/>
        </w:rPr>
        <w:t xml:space="preserve">, </w:t>
      </w:r>
      <w:r w:rsidR="00961259" w:rsidRPr="00FB7857">
        <w:rPr>
          <w:rFonts w:ascii="Cambria" w:eastAsia="新細明體" w:hAnsi="Cambria" w:cs="Times New Roman"/>
          <w:kern w:val="0"/>
          <w:szCs w:val="24"/>
        </w:rPr>
        <w:t>creating or writing</w:t>
      </w:r>
      <w:r w:rsidRPr="00FB7857">
        <w:rPr>
          <w:rFonts w:ascii="Cambria" w:eastAsia="新細明體" w:hAnsi="Cambria" w:cs="Times New Roman"/>
          <w:kern w:val="0"/>
          <w:szCs w:val="24"/>
        </w:rPr>
        <w:t xml:space="preserve">, community </w:t>
      </w:r>
      <w:r w:rsidR="00CC6273" w:rsidRPr="00FB7857">
        <w:rPr>
          <w:rFonts w:ascii="Cambria" w:eastAsia="新細明體" w:hAnsi="Cambria" w:cs="Times New Roman"/>
          <w:kern w:val="0"/>
          <w:szCs w:val="24"/>
        </w:rPr>
        <w:t>building</w:t>
      </w:r>
      <w:r w:rsidRPr="00FB7857">
        <w:rPr>
          <w:rFonts w:ascii="Cambria" w:eastAsia="新細明體" w:hAnsi="Cambria" w:cs="Times New Roman"/>
          <w:kern w:val="0"/>
          <w:szCs w:val="24"/>
        </w:rPr>
        <w:t xml:space="preserve">, preservation of cultural assets, renovation, </w:t>
      </w:r>
      <w:r w:rsidR="00CC6273" w:rsidRPr="00FB7857">
        <w:rPr>
          <w:rFonts w:ascii="Cambria" w:eastAsia="新細明體" w:hAnsi="Cambria" w:cs="Times New Roman"/>
          <w:kern w:val="0"/>
          <w:szCs w:val="24"/>
        </w:rPr>
        <w:t>interning</w:t>
      </w:r>
      <w:r w:rsidRPr="00FB7857">
        <w:rPr>
          <w:rFonts w:ascii="Cambria" w:eastAsia="新細明體" w:hAnsi="Cambria" w:cs="Times New Roman"/>
          <w:kern w:val="0"/>
          <w:szCs w:val="24"/>
        </w:rPr>
        <w:t xml:space="preserve">, fieldwork investigations and recording, research, interviews, </w:t>
      </w:r>
      <w:r w:rsidR="00F03D63" w:rsidRPr="00FB7857">
        <w:rPr>
          <w:rFonts w:ascii="Cambria" w:eastAsia="新細明體" w:hAnsi="Cambria" w:cs="Times New Roman"/>
          <w:kern w:val="0"/>
          <w:szCs w:val="24"/>
        </w:rPr>
        <w:t>journalistic</w:t>
      </w:r>
      <w:r w:rsidRPr="00FB7857">
        <w:rPr>
          <w:rFonts w:ascii="Cambria" w:eastAsia="新細明體" w:hAnsi="Cambria" w:cs="Times New Roman"/>
          <w:kern w:val="0"/>
          <w:szCs w:val="24"/>
        </w:rPr>
        <w:t xml:space="preserve"> report</w:t>
      </w:r>
      <w:r w:rsidR="00F03D63" w:rsidRPr="00FB7857">
        <w:rPr>
          <w:rFonts w:ascii="Cambria" w:eastAsia="新細明體" w:hAnsi="Cambria" w:cs="Times New Roman"/>
          <w:kern w:val="0"/>
          <w:szCs w:val="24"/>
        </w:rPr>
        <w:t>ing</w:t>
      </w:r>
      <w:r w:rsidRPr="00FB7857">
        <w:rPr>
          <w:rFonts w:ascii="Cambria" w:eastAsia="新細明體" w:hAnsi="Cambria" w:cs="Times New Roman"/>
          <w:kern w:val="0"/>
          <w:szCs w:val="24"/>
        </w:rPr>
        <w:t xml:space="preserve">, workshops, </w:t>
      </w:r>
      <w:r w:rsidR="00961259" w:rsidRPr="00FB7857">
        <w:rPr>
          <w:rFonts w:ascii="Cambria" w:eastAsia="新細明體" w:hAnsi="Cambria" w:cs="Times New Roman"/>
          <w:kern w:val="0"/>
          <w:szCs w:val="24"/>
        </w:rPr>
        <w:t>filmmaking</w:t>
      </w:r>
      <w:r w:rsidR="00D43DAD" w:rsidRPr="00FB7857">
        <w:rPr>
          <w:rFonts w:ascii="Cambria" w:eastAsia="新細明體" w:hAnsi="Cambria" w:cs="Times New Roman"/>
          <w:kern w:val="0"/>
          <w:szCs w:val="24"/>
        </w:rPr>
        <w:t xml:space="preserve">, and civic society-related activities, or other items as approved by the Ministry. </w:t>
      </w:r>
    </w:p>
    <w:p w:rsidR="00D43DAD" w:rsidRPr="00FB7857" w:rsidRDefault="008D5752" w:rsidP="00B34FC8">
      <w:pPr>
        <w:widowControl/>
        <w:spacing w:before="100" w:beforeAutospacing="1" w:after="100" w:afterAutospacing="1"/>
        <w:rPr>
          <w:rFonts w:ascii="Cambria" w:eastAsia="新細明體" w:hAnsi="Cambria" w:cs="Times New Roman"/>
          <w:b/>
          <w:color w:val="FF0000"/>
          <w:kern w:val="0"/>
          <w:szCs w:val="24"/>
        </w:rPr>
      </w:pPr>
      <w:r>
        <w:rPr>
          <w:rFonts w:ascii="Cambria" w:eastAsia="新細明體" w:hAnsi="Cambria" w:cs="Times New Roman"/>
          <w:b/>
          <w:kern w:val="0"/>
          <w:szCs w:val="24"/>
        </w:rPr>
        <w:t>III</w:t>
      </w:r>
      <w:r w:rsidR="00F640DE">
        <w:rPr>
          <w:rFonts w:ascii="Cambria" w:eastAsia="新細明體" w:hAnsi="Cambria" w:cs="Times New Roman"/>
          <w:b/>
          <w:kern w:val="0"/>
          <w:szCs w:val="24"/>
        </w:rPr>
        <w:t xml:space="preserve">. </w:t>
      </w:r>
      <w:r w:rsidR="001249D7" w:rsidRPr="00FB7857">
        <w:rPr>
          <w:rFonts w:ascii="Cambria" w:eastAsia="新細明體" w:hAnsi="Cambria" w:cs="Times New Roman"/>
          <w:b/>
          <w:kern w:val="0"/>
          <w:szCs w:val="24"/>
        </w:rPr>
        <w:t>Applicant Eligibility</w:t>
      </w:r>
    </w:p>
    <w:p w:rsidR="00DB050D" w:rsidRPr="00FB7857" w:rsidRDefault="00DB050D" w:rsidP="00DB050D">
      <w:pPr>
        <w:widowControl/>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Public and private university and colleges, academic institutions, domestic legal persons or civic groups registered or incorporated in accordance with the l</w:t>
      </w:r>
      <w:r w:rsidR="00EE5660" w:rsidRPr="00FB7857">
        <w:rPr>
          <w:rFonts w:ascii="Cambria" w:eastAsia="新細明體" w:hAnsi="Cambria" w:cs="Times New Roman"/>
          <w:kern w:val="0"/>
          <w:szCs w:val="24"/>
        </w:rPr>
        <w:t>aws of the Republic of China (Taiwan</w:t>
      </w:r>
      <w:r w:rsidRPr="00FB7857">
        <w:rPr>
          <w:rFonts w:ascii="Cambria" w:eastAsia="新細明體" w:hAnsi="Cambria" w:cs="Times New Roman"/>
          <w:kern w:val="0"/>
          <w:szCs w:val="24"/>
        </w:rPr>
        <w:t>).</w:t>
      </w:r>
    </w:p>
    <w:p w:rsidR="00373115" w:rsidRPr="00FB7857" w:rsidRDefault="008D5752" w:rsidP="00373115">
      <w:pPr>
        <w:widowControl/>
        <w:spacing w:before="100" w:beforeAutospacing="1" w:after="100" w:afterAutospacing="1"/>
        <w:rPr>
          <w:rFonts w:ascii="Cambria" w:eastAsia="新細明體" w:hAnsi="Cambria" w:cs="Times New Roman"/>
          <w:b/>
          <w:kern w:val="0"/>
          <w:szCs w:val="24"/>
        </w:rPr>
      </w:pPr>
      <w:r>
        <w:rPr>
          <w:rFonts w:ascii="Cambria" w:eastAsia="新細明體" w:hAnsi="Cambria" w:cs="Times New Roman"/>
          <w:b/>
          <w:kern w:val="0"/>
          <w:szCs w:val="24"/>
        </w:rPr>
        <w:t xml:space="preserve">IV. </w:t>
      </w:r>
      <w:r w:rsidR="00F640DE">
        <w:rPr>
          <w:rFonts w:ascii="Cambria" w:eastAsia="新細明體" w:hAnsi="Cambria" w:cs="Times New Roman"/>
          <w:b/>
          <w:kern w:val="0"/>
          <w:szCs w:val="24"/>
        </w:rPr>
        <w:t>R</w:t>
      </w:r>
      <w:r w:rsidR="00F640DE" w:rsidRPr="00FB7857">
        <w:rPr>
          <w:rFonts w:ascii="Cambria" w:eastAsia="新細明體" w:hAnsi="Cambria" w:cs="Times New Roman"/>
          <w:b/>
          <w:kern w:val="0"/>
          <w:szCs w:val="24"/>
        </w:rPr>
        <w:t xml:space="preserve">equirements </w:t>
      </w:r>
      <w:r w:rsidR="00445D80" w:rsidRPr="00FB7857">
        <w:rPr>
          <w:rFonts w:ascii="Cambria" w:eastAsia="新細明體" w:hAnsi="Cambria" w:cs="Times New Roman"/>
          <w:b/>
          <w:kern w:val="0"/>
          <w:szCs w:val="24"/>
        </w:rPr>
        <w:t xml:space="preserve">for </w:t>
      </w:r>
      <w:r w:rsidR="00F640DE">
        <w:rPr>
          <w:rFonts w:ascii="Cambria" w:eastAsia="新細明體" w:hAnsi="Cambria" w:cs="Times New Roman"/>
          <w:b/>
          <w:kern w:val="0"/>
          <w:szCs w:val="24"/>
        </w:rPr>
        <w:t>C</w:t>
      </w:r>
      <w:r w:rsidR="00445D80" w:rsidRPr="00FB7857">
        <w:rPr>
          <w:rFonts w:ascii="Cambria" w:eastAsia="新細明體" w:hAnsi="Cambria" w:cs="Times New Roman"/>
          <w:b/>
          <w:kern w:val="0"/>
          <w:szCs w:val="24"/>
        </w:rPr>
        <w:t xml:space="preserve">ollaboration </w:t>
      </w:r>
      <w:r w:rsidR="00F640DE">
        <w:rPr>
          <w:rFonts w:ascii="Cambria" w:eastAsia="新細明體" w:hAnsi="Cambria" w:cs="Times New Roman"/>
          <w:b/>
          <w:kern w:val="0"/>
          <w:szCs w:val="24"/>
        </w:rPr>
        <w:t>N</w:t>
      </w:r>
      <w:r w:rsidR="00445D80" w:rsidRPr="00FB7857">
        <w:rPr>
          <w:rFonts w:ascii="Cambria" w:eastAsia="新細明體" w:hAnsi="Cambria" w:cs="Times New Roman"/>
          <w:b/>
          <w:kern w:val="0"/>
          <w:szCs w:val="24"/>
        </w:rPr>
        <w:t>ominees</w:t>
      </w:r>
    </w:p>
    <w:p w:rsidR="00961259" w:rsidRPr="00FB7857" w:rsidRDefault="00961259" w:rsidP="00961259">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Latin</w:t>
      </w:r>
      <w:r w:rsidR="00F640DE">
        <w:rPr>
          <w:rFonts w:ascii="Cambria" w:eastAsia="新細明體" w:hAnsi="Cambria" w:cs="Times New Roman"/>
          <w:kern w:val="0"/>
          <w:szCs w:val="24"/>
        </w:rPr>
        <w:t xml:space="preserve"> </w:t>
      </w:r>
      <w:r w:rsidRPr="00FB7857">
        <w:rPr>
          <w:rFonts w:ascii="Cambria" w:eastAsia="新細明體" w:hAnsi="Cambria" w:cs="Times New Roman"/>
          <w:kern w:val="0"/>
          <w:szCs w:val="24"/>
        </w:rPr>
        <w:t xml:space="preserve">American </w:t>
      </w:r>
      <w:r w:rsidR="004603C2" w:rsidRPr="00FB7857">
        <w:rPr>
          <w:rFonts w:ascii="Cambria" w:eastAsia="新細明體" w:hAnsi="Cambria" w:cs="Times New Roman"/>
          <w:kern w:val="0"/>
          <w:szCs w:val="24"/>
        </w:rPr>
        <w:t>citizenship</w:t>
      </w:r>
      <w:r w:rsidRPr="00FB7857">
        <w:rPr>
          <w:rFonts w:ascii="Cambria" w:eastAsia="新細明體" w:hAnsi="Cambria" w:cs="Times New Roman"/>
          <w:kern w:val="0"/>
          <w:szCs w:val="24"/>
        </w:rPr>
        <w:t xml:space="preserve"> and not subject to regulations of </w:t>
      </w:r>
      <w:r w:rsidR="004603C2" w:rsidRPr="00FB7857">
        <w:rPr>
          <w:rFonts w:ascii="Cambria" w:eastAsia="新細明體" w:hAnsi="Cambria" w:cs="Times New Roman"/>
          <w:kern w:val="0"/>
          <w:szCs w:val="24"/>
        </w:rPr>
        <w:t>the</w:t>
      </w:r>
      <w:r w:rsidRPr="00FB7857">
        <w:rPr>
          <w:rFonts w:ascii="Cambria" w:eastAsia="新細明體" w:hAnsi="Cambria" w:cs="Times New Roman"/>
          <w:kern w:val="0"/>
          <w:szCs w:val="24"/>
        </w:rPr>
        <w:t xml:space="preserve"> country </w:t>
      </w:r>
      <w:r w:rsidR="004603C2" w:rsidRPr="00FB7857">
        <w:rPr>
          <w:rFonts w:ascii="Cambria" w:eastAsia="新細明體" w:hAnsi="Cambria" w:cs="Times New Roman"/>
          <w:kern w:val="0"/>
          <w:szCs w:val="24"/>
        </w:rPr>
        <w:t xml:space="preserve">of citizenship </w:t>
      </w:r>
      <w:r w:rsidR="008D5752">
        <w:rPr>
          <w:rFonts w:ascii="Cambria" w:eastAsia="新細明體" w:hAnsi="Cambria" w:cs="Times New Roman"/>
          <w:kern w:val="0"/>
          <w:szCs w:val="24"/>
        </w:rPr>
        <w:t>regarding</w:t>
      </w:r>
      <w:r w:rsidR="008D5752" w:rsidRPr="00FB7857">
        <w:rPr>
          <w:rFonts w:ascii="Cambria" w:eastAsia="新細明體" w:hAnsi="Cambria" w:cs="Times New Roman"/>
          <w:kern w:val="0"/>
          <w:szCs w:val="24"/>
        </w:rPr>
        <w:t xml:space="preserve"> </w:t>
      </w:r>
      <w:r w:rsidRPr="00FB7857">
        <w:rPr>
          <w:rFonts w:ascii="Cambria" w:eastAsia="新細明體" w:hAnsi="Cambria" w:cs="Times New Roman"/>
          <w:kern w:val="0"/>
          <w:szCs w:val="24"/>
        </w:rPr>
        <w:t>military service</w:t>
      </w:r>
      <w:r w:rsidR="004603C2" w:rsidRPr="00FB7857">
        <w:rPr>
          <w:rFonts w:ascii="Cambria" w:eastAsia="新細明體" w:hAnsi="Cambria" w:cs="Times New Roman"/>
          <w:kern w:val="0"/>
          <w:szCs w:val="24"/>
        </w:rPr>
        <w:t xml:space="preserve"> or </w:t>
      </w:r>
      <w:r w:rsidRPr="00FB7857">
        <w:rPr>
          <w:rFonts w:ascii="Cambria" w:eastAsia="新細明體" w:hAnsi="Cambria" w:cs="Times New Roman"/>
          <w:kern w:val="0"/>
          <w:szCs w:val="24"/>
        </w:rPr>
        <w:t>travel restrictions</w:t>
      </w:r>
      <w:r w:rsidR="004603C2" w:rsidRPr="00FB7857">
        <w:rPr>
          <w:rFonts w:ascii="Cambria" w:eastAsia="新細明體" w:hAnsi="Cambria" w:cs="Times New Roman"/>
          <w:kern w:val="0"/>
          <w:szCs w:val="24"/>
        </w:rPr>
        <w:t>;</w:t>
      </w:r>
    </w:p>
    <w:p w:rsidR="00961259" w:rsidRPr="00FB7857" w:rsidRDefault="004603C2" w:rsidP="00961259">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Engagement</w:t>
      </w:r>
      <w:r w:rsidR="00961259" w:rsidRPr="00FB7857">
        <w:rPr>
          <w:rFonts w:ascii="Cambria" w:eastAsia="新細明體" w:hAnsi="Cambria" w:cs="Times New Roman"/>
          <w:kern w:val="0"/>
          <w:szCs w:val="24"/>
        </w:rPr>
        <w:t xml:space="preserve"> for three successive years in </w:t>
      </w:r>
      <w:r w:rsidRPr="00FB7857">
        <w:rPr>
          <w:rFonts w:ascii="Cambria" w:eastAsia="新細明體" w:hAnsi="Cambria" w:cs="Times New Roman"/>
          <w:kern w:val="0"/>
          <w:szCs w:val="24"/>
        </w:rPr>
        <w:t>projects</w:t>
      </w:r>
      <w:r w:rsidR="00961259" w:rsidRPr="00FB7857">
        <w:rPr>
          <w:rFonts w:ascii="Cambria" w:eastAsia="新細明體" w:hAnsi="Cambria" w:cs="Times New Roman"/>
          <w:kern w:val="0"/>
          <w:szCs w:val="24"/>
        </w:rPr>
        <w:t xml:space="preserve"> defined in </w:t>
      </w:r>
      <w:r w:rsidR="007D611C">
        <w:rPr>
          <w:rFonts w:ascii="Cambria" w:eastAsia="新細明體" w:hAnsi="Cambria" w:cs="Times New Roman"/>
          <w:kern w:val="0"/>
          <w:szCs w:val="24"/>
        </w:rPr>
        <w:t>Article</w:t>
      </w:r>
      <w:r w:rsidR="00F640DE">
        <w:rPr>
          <w:rFonts w:ascii="Cambria" w:eastAsia="新細明體" w:hAnsi="Cambria" w:cs="Times New Roman"/>
          <w:kern w:val="0"/>
          <w:szCs w:val="24"/>
        </w:rPr>
        <w:t xml:space="preserve"> I</w:t>
      </w:r>
      <w:r w:rsidR="007D611C">
        <w:rPr>
          <w:rFonts w:ascii="Cambria" w:eastAsia="新細明體" w:hAnsi="Cambria" w:cs="Times New Roman"/>
          <w:kern w:val="0"/>
          <w:szCs w:val="24"/>
        </w:rPr>
        <w:t>I</w:t>
      </w:r>
      <w:r w:rsidR="00F640DE" w:rsidRPr="00FB7857">
        <w:rPr>
          <w:rFonts w:ascii="Cambria" w:eastAsia="新細明體" w:hAnsi="Cambria" w:cs="Times New Roman"/>
          <w:kern w:val="0"/>
          <w:szCs w:val="24"/>
        </w:rPr>
        <w:t xml:space="preserve"> </w:t>
      </w:r>
      <w:r w:rsidRPr="00FB7857">
        <w:rPr>
          <w:rFonts w:ascii="Cambria" w:eastAsia="新細明體" w:hAnsi="Cambria" w:cs="Times New Roman"/>
          <w:kern w:val="0"/>
          <w:szCs w:val="24"/>
        </w:rPr>
        <w:t>with</w:t>
      </w:r>
      <w:r w:rsidR="00961259" w:rsidRPr="00FB7857">
        <w:rPr>
          <w:rFonts w:ascii="Cambria" w:eastAsia="新細明體" w:hAnsi="Cambria" w:cs="Times New Roman"/>
          <w:kern w:val="0"/>
          <w:szCs w:val="24"/>
        </w:rPr>
        <w:t xml:space="preserve"> concrete accomplishments or results</w:t>
      </w:r>
      <w:r w:rsidRPr="00FB7857">
        <w:rPr>
          <w:rFonts w:ascii="Cambria" w:eastAsia="新細明體" w:hAnsi="Cambria" w:cs="Times New Roman"/>
          <w:kern w:val="0"/>
          <w:szCs w:val="24"/>
        </w:rPr>
        <w:t>; and</w:t>
      </w:r>
    </w:p>
    <w:p w:rsidR="00961259" w:rsidRPr="00FB7857" w:rsidRDefault="008B67F9" w:rsidP="00961259">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Nominees </w:t>
      </w:r>
      <w:r w:rsidR="0014456B" w:rsidRPr="00FB7857">
        <w:rPr>
          <w:rFonts w:ascii="Cambria" w:eastAsia="新細明體" w:hAnsi="Cambria" w:cs="Times New Roman"/>
          <w:kern w:val="0"/>
          <w:szCs w:val="24"/>
        </w:rPr>
        <w:t>invited</w:t>
      </w:r>
      <w:r w:rsidRPr="00FB7857">
        <w:rPr>
          <w:rFonts w:ascii="Cambria" w:eastAsia="新細明體" w:hAnsi="Cambria" w:cs="Times New Roman"/>
          <w:kern w:val="0"/>
          <w:szCs w:val="24"/>
        </w:rPr>
        <w:t xml:space="preserve"> to Taiwan for collaboration shall not h</w:t>
      </w:r>
      <w:r w:rsidR="00961259" w:rsidRPr="00FB7857">
        <w:rPr>
          <w:rFonts w:ascii="Cambria" w:eastAsia="新細明體" w:hAnsi="Cambria" w:cs="Times New Roman"/>
          <w:kern w:val="0"/>
          <w:szCs w:val="24"/>
        </w:rPr>
        <w:t>ave not been employed or schooled in Taiwan for one year</w:t>
      </w:r>
      <w:r w:rsidR="00E831DA" w:rsidRPr="00FB7857">
        <w:rPr>
          <w:rFonts w:ascii="Cambria" w:eastAsia="新細明體" w:hAnsi="Cambria" w:cs="Times New Roman"/>
          <w:kern w:val="0"/>
          <w:szCs w:val="24"/>
        </w:rPr>
        <w:t xml:space="preserve"> before the </w:t>
      </w:r>
      <w:r w:rsidR="001966BC" w:rsidRPr="00FB7857">
        <w:rPr>
          <w:rFonts w:ascii="Cambria" w:eastAsia="新細明體" w:hAnsi="Cambria" w:cs="Times New Roman"/>
          <w:kern w:val="0"/>
          <w:szCs w:val="24"/>
        </w:rPr>
        <w:t>specified</w:t>
      </w:r>
      <w:r w:rsidR="00E831DA" w:rsidRPr="00FB7857">
        <w:rPr>
          <w:rFonts w:ascii="Cambria" w:eastAsia="新細明體" w:hAnsi="Cambria" w:cs="Times New Roman"/>
          <w:kern w:val="0"/>
          <w:szCs w:val="24"/>
        </w:rPr>
        <w:t xml:space="preserve"> beginning date of the proposed project</w:t>
      </w:r>
      <w:r w:rsidR="00961259" w:rsidRPr="00FB7857">
        <w:rPr>
          <w:rFonts w:ascii="Cambria" w:eastAsia="新細明體" w:hAnsi="Cambria" w:cs="Times New Roman"/>
          <w:kern w:val="0"/>
          <w:szCs w:val="24"/>
        </w:rPr>
        <w:t>.</w:t>
      </w:r>
    </w:p>
    <w:p w:rsidR="00FB3677" w:rsidRPr="00FB7857" w:rsidRDefault="007D611C" w:rsidP="00961259">
      <w:pPr>
        <w:rPr>
          <w:rFonts w:ascii="Cambria" w:hAnsi="Cambria" w:cs="Times New Roman"/>
          <w:b/>
          <w:szCs w:val="24"/>
        </w:rPr>
      </w:pPr>
      <w:r>
        <w:rPr>
          <w:rFonts w:ascii="Cambria" w:hAnsi="Cambria" w:cs="Times New Roman"/>
          <w:b/>
          <w:szCs w:val="24"/>
        </w:rPr>
        <w:t xml:space="preserve">V. </w:t>
      </w:r>
      <w:r w:rsidR="00EA0501" w:rsidRPr="00FB7857">
        <w:rPr>
          <w:rFonts w:ascii="Cambria" w:hAnsi="Cambria" w:cs="Times New Roman"/>
          <w:b/>
          <w:szCs w:val="24"/>
        </w:rPr>
        <w:t xml:space="preserve">Funding </w:t>
      </w:r>
      <w:r w:rsidR="00F640DE">
        <w:rPr>
          <w:rFonts w:ascii="Cambria" w:hAnsi="Cambria" w:cs="Times New Roman"/>
          <w:b/>
          <w:szCs w:val="24"/>
        </w:rPr>
        <w:t>C</w:t>
      </w:r>
      <w:r w:rsidR="00EA0501" w:rsidRPr="00FB7857">
        <w:rPr>
          <w:rFonts w:ascii="Cambria" w:hAnsi="Cambria" w:cs="Times New Roman"/>
          <w:b/>
          <w:szCs w:val="24"/>
        </w:rPr>
        <w:t xml:space="preserve">ategories, </w:t>
      </w:r>
      <w:r w:rsidR="00F640DE">
        <w:rPr>
          <w:rFonts w:ascii="Cambria" w:hAnsi="Cambria" w:cs="Times New Roman"/>
          <w:b/>
          <w:szCs w:val="24"/>
        </w:rPr>
        <w:t>A</w:t>
      </w:r>
      <w:r w:rsidR="00EA0501" w:rsidRPr="00FB7857">
        <w:rPr>
          <w:rFonts w:ascii="Cambria" w:hAnsi="Cambria" w:cs="Times New Roman"/>
          <w:b/>
          <w:szCs w:val="24"/>
        </w:rPr>
        <w:t xml:space="preserve">mounts and </w:t>
      </w:r>
      <w:r w:rsidR="00F640DE">
        <w:rPr>
          <w:rFonts w:ascii="Cambria" w:hAnsi="Cambria" w:cs="Times New Roman"/>
          <w:b/>
          <w:szCs w:val="24"/>
        </w:rPr>
        <w:t>I</w:t>
      </w:r>
      <w:r w:rsidR="00026D6A" w:rsidRPr="00FB7857">
        <w:rPr>
          <w:rFonts w:ascii="Cambria" w:hAnsi="Cambria" w:cs="Times New Roman"/>
          <w:b/>
          <w:szCs w:val="24"/>
        </w:rPr>
        <w:t>tems</w:t>
      </w:r>
    </w:p>
    <w:p w:rsidR="00EA0501" w:rsidRPr="008461D8" w:rsidRDefault="00EA0501" w:rsidP="00E23979">
      <w:pPr>
        <w:tabs>
          <w:tab w:val="left" w:pos="1276"/>
        </w:tabs>
        <w:rPr>
          <w:rFonts w:ascii="Cambria" w:hAnsi="Cambria" w:cs="Times New Roman"/>
          <w:szCs w:val="24"/>
          <w:u w:val="single"/>
        </w:rPr>
      </w:pPr>
      <w:r w:rsidRPr="008461D8">
        <w:rPr>
          <w:rFonts w:ascii="Cambria" w:hAnsi="Cambria" w:cs="Times New Roman"/>
          <w:szCs w:val="24"/>
          <w:u w:val="single"/>
        </w:rPr>
        <w:t>Category I:</w:t>
      </w:r>
      <w:r w:rsidR="008D5752" w:rsidRPr="008461D8">
        <w:rPr>
          <w:rFonts w:ascii="Cambria" w:hAnsi="Cambria" w:cs="Times New Roman"/>
          <w:szCs w:val="24"/>
          <w:u w:val="single"/>
        </w:rPr>
        <w:t xml:space="preserve"> </w:t>
      </w:r>
      <w:r w:rsidRPr="008461D8">
        <w:rPr>
          <w:rFonts w:ascii="Cambria" w:hAnsi="Cambria" w:cs="Times New Roman"/>
          <w:szCs w:val="24"/>
          <w:u w:val="single"/>
        </w:rPr>
        <w:t>Exchanges and Collaboration</w:t>
      </w:r>
    </w:p>
    <w:p w:rsidR="00EA0501" w:rsidRPr="00FB7857" w:rsidRDefault="00EA0501" w:rsidP="00EA0501">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lastRenderedPageBreak/>
        <w:t>The exchange or collaboration period in principle shall not exceed six months;</w:t>
      </w:r>
    </w:p>
    <w:p w:rsidR="00EA0501" w:rsidRPr="00FB7857" w:rsidRDefault="00EA0501" w:rsidP="00EA0501">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Funding for each proposed project shall not exceed NT$1.5 million; and</w:t>
      </w:r>
    </w:p>
    <w:p w:rsidR="00EA0501" w:rsidRPr="00FB7857" w:rsidRDefault="00EA0501" w:rsidP="00EA0501">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Funded items include the following expenditures of </w:t>
      </w:r>
      <w:r w:rsidR="00F640DE">
        <w:rPr>
          <w:rFonts w:ascii="Cambria" w:eastAsia="新細明體" w:hAnsi="Cambria" w:cs="Times New Roman"/>
          <w:kern w:val="0"/>
          <w:szCs w:val="24"/>
        </w:rPr>
        <w:t xml:space="preserve">the </w:t>
      </w:r>
      <w:r w:rsidR="00FE7B3E" w:rsidRPr="00FB7857">
        <w:rPr>
          <w:rFonts w:ascii="Cambria" w:eastAsia="新細明體" w:hAnsi="Cambria" w:cs="Times New Roman"/>
          <w:kern w:val="0"/>
          <w:szCs w:val="24"/>
        </w:rPr>
        <w:t>Latin</w:t>
      </w:r>
      <w:r w:rsidR="00F640DE">
        <w:rPr>
          <w:rFonts w:ascii="Cambria" w:eastAsia="新細明體" w:hAnsi="Cambria" w:cs="Times New Roman"/>
          <w:kern w:val="0"/>
          <w:szCs w:val="24"/>
        </w:rPr>
        <w:t xml:space="preserve"> </w:t>
      </w:r>
      <w:r w:rsidR="00FE7B3E" w:rsidRPr="00FB7857">
        <w:rPr>
          <w:rFonts w:ascii="Cambria" w:eastAsia="新細明體" w:hAnsi="Cambria" w:cs="Times New Roman"/>
          <w:kern w:val="0"/>
          <w:szCs w:val="24"/>
        </w:rPr>
        <w:t>American individual invited to Taiwan</w:t>
      </w:r>
      <w:r w:rsidR="00F640DE">
        <w:rPr>
          <w:rFonts w:ascii="Cambria" w:eastAsia="新細明體" w:hAnsi="Cambria" w:cs="Times New Roman"/>
          <w:kern w:val="0"/>
          <w:szCs w:val="24"/>
        </w:rPr>
        <w:t>,</w:t>
      </w:r>
      <w:r w:rsidR="00FE7B3E" w:rsidRPr="00FB7857">
        <w:rPr>
          <w:rFonts w:ascii="Cambria" w:eastAsia="新細明體" w:hAnsi="Cambria" w:cs="Times New Roman"/>
          <w:kern w:val="0"/>
          <w:szCs w:val="24"/>
        </w:rPr>
        <w:t xml:space="preserve"> or the applicant </w:t>
      </w:r>
      <w:r w:rsidR="00F640DE">
        <w:rPr>
          <w:rFonts w:ascii="Cambria" w:eastAsia="新細明體" w:hAnsi="Cambria" w:cs="Times New Roman"/>
          <w:kern w:val="0"/>
          <w:szCs w:val="24"/>
        </w:rPr>
        <w:t>traveling</w:t>
      </w:r>
      <w:r w:rsidR="00F640DE" w:rsidRPr="00FB7857">
        <w:rPr>
          <w:rFonts w:ascii="Cambria" w:eastAsia="新細明體" w:hAnsi="Cambria" w:cs="Times New Roman"/>
          <w:kern w:val="0"/>
          <w:szCs w:val="24"/>
        </w:rPr>
        <w:t xml:space="preserve"> </w:t>
      </w:r>
      <w:r w:rsidR="00FE7B3E" w:rsidRPr="00FB7857">
        <w:rPr>
          <w:rFonts w:ascii="Cambria" w:eastAsia="新細明體" w:hAnsi="Cambria" w:cs="Times New Roman"/>
          <w:kern w:val="0"/>
          <w:szCs w:val="24"/>
        </w:rPr>
        <w:t>overseas</w:t>
      </w:r>
      <w:r w:rsidR="00F640DE">
        <w:rPr>
          <w:rFonts w:ascii="Cambria" w:eastAsia="新細明體" w:hAnsi="Cambria" w:cs="Times New Roman"/>
          <w:kern w:val="0"/>
          <w:szCs w:val="24"/>
        </w:rPr>
        <w:t>,</w:t>
      </w:r>
      <w:r w:rsidR="00FE7B3E" w:rsidRPr="00FB7857">
        <w:rPr>
          <w:rFonts w:ascii="Cambria" w:eastAsia="新細明體" w:hAnsi="Cambria" w:cs="Times New Roman"/>
          <w:kern w:val="0"/>
          <w:szCs w:val="24"/>
        </w:rPr>
        <w:t xml:space="preserve"> during the exchange or collaboration period:</w:t>
      </w:r>
    </w:p>
    <w:p w:rsidR="00FE7B3E" w:rsidRPr="00FB7857" w:rsidRDefault="00FE7B3E" w:rsidP="002C1B1A">
      <w:pPr>
        <w:widowControl/>
        <w:numPr>
          <w:ilvl w:val="1"/>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Travel</w:t>
      </w:r>
      <w:r w:rsidR="005C6411" w:rsidRPr="00FB7857">
        <w:rPr>
          <w:rFonts w:ascii="Cambria" w:eastAsia="新細明體" w:hAnsi="Cambria" w:cs="Times New Roman"/>
          <w:kern w:val="0"/>
          <w:szCs w:val="24"/>
        </w:rPr>
        <w:t>:</w:t>
      </w:r>
      <w:r w:rsidRPr="00FB7857">
        <w:rPr>
          <w:rFonts w:ascii="Cambria" w:eastAsia="新細明體" w:hAnsi="Cambria" w:cs="Times New Roman"/>
          <w:kern w:val="0"/>
          <w:szCs w:val="24"/>
        </w:rPr>
        <w:t xml:space="preserve"> </w:t>
      </w:r>
      <w:r w:rsidR="005C6411" w:rsidRPr="00FB7857">
        <w:rPr>
          <w:rFonts w:ascii="Cambria" w:eastAsia="新細明體" w:hAnsi="Cambria" w:cs="Times New Roman"/>
          <w:kern w:val="0"/>
          <w:szCs w:val="24"/>
        </w:rPr>
        <w:t>R</w:t>
      </w:r>
      <w:r w:rsidRPr="00FB7857">
        <w:rPr>
          <w:rFonts w:ascii="Cambria" w:eastAsia="新細明體" w:hAnsi="Cambria" w:cs="Times New Roman"/>
          <w:kern w:val="0"/>
          <w:szCs w:val="24"/>
        </w:rPr>
        <w:t>ound-trip air fare (restricted to economy-class air fare), ground transportation (in principle, from airport to place of residence) and visa fees</w:t>
      </w:r>
      <w:r w:rsidR="002C2C79" w:rsidRPr="00FB7857">
        <w:rPr>
          <w:rFonts w:ascii="Cambria" w:eastAsia="新細明體" w:hAnsi="Cambria" w:cs="Times New Roman"/>
          <w:kern w:val="0"/>
          <w:szCs w:val="24"/>
        </w:rPr>
        <w:t>;</w:t>
      </w:r>
    </w:p>
    <w:p w:rsidR="00FE7B3E" w:rsidRPr="00FB7857" w:rsidRDefault="00FE7B3E" w:rsidP="002C1B1A">
      <w:pPr>
        <w:widowControl/>
        <w:numPr>
          <w:ilvl w:val="1"/>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Insurance: </w:t>
      </w:r>
      <w:r w:rsidR="002C2C79" w:rsidRPr="00FB7857">
        <w:rPr>
          <w:rFonts w:ascii="Cambria" w:eastAsia="新細明體" w:hAnsi="Cambria" w:cs="Times New Roman"/>
          <w:kern w:val="0"/>
          <w:szCs w:val="24"/>
        </w:rPr>
        <w:t>During the approved period for the undertaking of the project, traveler’s insurance for a maximum of NT$4 million;</w:t>
      </w:r>
    </w:p>
    <w:p w:rsidR="002C2C79" w:rsidRPr="00FB7857" w:rsidRDefault="005C6411" w:rsidP="002C1B1A">
      <w:pPr>
        <w:widowControl/>
        <w:numPr>
          <w:ilvl w:val="1"/>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Lodging and living expenses: For Latin</w:t>
      </w:r>
      <w:r w:rsidR="00F640DE">
        <w:rPr>
          <w:rFonts w:ascii="Cambria" w:eastAsia="新細明體" w:hAnsi="Cambria" w:cs="Times New Roman"/>
          <w:kern w:val="0"/>
          <w:szCs w:val="24"/>
        </w:rPr>
        <w:t xml:space="preserve"> </w:t>
      </w:r>
      <w:r w:rsidRPr="00FB7857">
        <w:rPr>
          <w:rFonts w:ascii="Cambria" w:eastAsia="新細明體" w:hAnsi="Cambria" w:cs="Times New Roman"/>
          <w:kern w:val="0"/>
          <w:szCs w:val="24"/>
        </w:rPr>
        <w:t xml:space="preserve">American individuals coming to Taiwan, a maximum of NT$1,400 per day for lodging, limited to actual expenses; and a NT$400 per diem living stipend, </w:t>
      </w:r>
      <w:r w:rsidR="00377362" w:rsidRPr="00FB7857">
        <w:rPr>
          <w:rFonts w:ascii="Cambria" w:eastAsia="新細明體" w:hAnsi="Cambria" w:cs="Times New Roman"/>
          <w:kern w:val="0"/>
          <w:szCs w:val="24"/>
        </w:rPr>
        <w:t xml:space="preserve">and </w:t>
      </w:r>
      <w:r w:rsidR="00F640DE">
        <w:rPr>
          <w:rFonts w:ascii="Cambria" w:eastAsia="新細明體" w:hAnsi="Cambria" w:cs="Times New Roman"/>
          <w:kern w:val="0"/>
          <w:szCs w:val="24"/>
        </w:rPr>
        <w:t xml:space="preserve">a </w:t>
      </w:r>
      <w:r w:rsidR="00377362" w:rsidRPr="00FB7857">
        <w:rPr>
          <w:rFonts w:ascii="Cambria" w:eastAsia="新細明體" w:hAnsi="Cambria" w:cs="Times New Roman"/>
          <w:kern w:val="0"/>
          <w:szCs w:val="24"/>
        </w:rPr>
        <w:t>sign</w:t>
      </w:r>
      <w:r w:rsidR="00F640DE">
        <w:rPr>
          <w:rFonts w:ascii="Cambria" w:eastAsia="新細明體" w:hAnsi="Cambria" w:cs="Times New Roman"/>
          <w:kern w:val="0"/>
          <w:szCs w:val="24"/>
        </w:rPr>
        <w:t>ed</w:t>
      </w:r>
      <w:r w:rsidR="00377362" w:rsidRPr="00FB7857">
        <w:rPr>
          <w:rFonts w:ascii="Cambria" w:eastAsia="新細明體" w:hAnsi="Cambria" w:cs="Times New Roman"/>
          <w:kern w:val="0"/>
          <w:szCs w:val="24"/>
        </w:rPr>
        <w:t xml:space="preserve"> receipt from the funded agency upon receiving funds. For domestic applicants traveling overseas, funding </w:t>
      </w:r>
      <w:r w:rsidR="007D611C">
        <w:rPr>
          <w:rFonts w:ascii="Cambria" w:eastAsia="新細明體" w:hAnsi="Cambria" w:cs="Times New Roman"/>
          <w:kern w:val="0"/>
          <w:szCs w:val="24"/>
        </w:rPr>
        <w:t xml:space="preserve">is </w:t>
      </w:r>
      <w:r w:rsidR="00377362" w:rsidRPr="00FB7857">
        <w:rPr>
          <w:rFonts w:ascii="Cambria" w:eastAsia="新細明體" w:hAnsi="Cambria" w:cs="Times New Roman"/>
          <w:kern w:val="0"/>
          <w:szCs w:val="24"/>
        </w:rPr>
        <w:t xml:space="preserve">based on the standard of living in the destination country, with a funding limit to be additionally set, and </w:t>
      </w:r>
      <w:r w:rsidR="008D5752">
        <w:rPr>
          <w:rFonts w:ascii="Cambria" w:eastAsia="新細明體" w:hAnsi="Cambria" w:cs="Times New Roman"/>
          <w:kern w:val="0"/>
          <w:szCs w:val="24"/>
        </w:rPr>
        <w:t xml:space="preserve">the provision of a </w:t>
      </w:r>
      <w:r w:rsidR="00377362" w:rsidRPr="00FB7857">
        <w:rPr>
          <w:rFonts w:ascii="Cambria" w:eastAsia="新細明體" w:hAnsi="Cambria" w:cs="Times New Roman"/>
          <w:kern w:val="0"/>
          <w:szCs w:val="24"/>
        </w:rPr>
        <w:t>sign</w:t>
      </w:r>
      <w:r w:rsidR="008D5752">
        <w:rPr>
          <w:rFonts w:ascii="Cambria" w:eastAsia="新細明體" w:hAnsi="Cambria" w:cs="Times New Roman"/>
          <w:kern w:val="0"/>
          <w:szCs w:val="24"/>
        </w:rPr>
        <w:t>ed</w:t>
      </w:r>
      <w:r w:rsidR="00377362" w:rsidRPr="00FB7857">
        <w:rPr>
          <w:rFonts w:ascii="Cambria" w:eastAsia="新細明體" w:hAnsi="Cambria" w:cs="Times New Roman"/>
          <w:kern w:val="0"/>
          <w:szCs w:val="24"/>
        </w:rPr>
        <w:t xml:space="preserve"> receipt upon receiving funds. </w:t>
      </w:r>
    </w:p>
    <w:p w:rsidR="00377362" w:rsidRPr="00FB7857" w:rsidRDefault="00377362" w:rsidP="002C1B1A">
      <w:pPr>
        <w:widowControl/>
        <w:numPr>
          <w:ilvl w:val="1"/>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Creation and writing fees (not including the income tax obligation of Latin</w:t>
      </w:r>
      <w:r w:rsidR="007D611C">
        <w:rPr>
          <w:rFonts w:ascii="Cambria" w:eastAsia="新細明體" w:hAnsi="Cambria" w:cs="Times New Roman"/>
          <w:kern w:val="0"/>
          <w:szCs w:val="24"/>
        </w:rPr>
        <w:t xml:space="preserve"> </w:t>
      </w:r>
      <w:r w:rsidRPr="00FB7857">
        <w:rPr>
          <w:rFonts w:ascii="Cambria" w:eastAsia="新細明體" w:hAnsi="Cambria" w:cs="Times New Roman"/>
          <w:kern w:val="0"/>
          <w:szCs w:val="24"/>
        </w:rPr>
        <w:t>American collaboration nominees); and</w:t>
      </w:r>
    </w:p>
    <w:p w:rsidR="00377362" w:rsidRPr="00FB7857" w:rsidRDefault="002C1B1A" w:rsidP="002C1B1A">
      <w:pPr>
        <w:widowControl/>
        <w:numPr>
          <w:ilvl w:val="1"/>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Publicity, promotion and marketing costs pertaining to the results of </w:t>
      </w:r>
      <w:r w:rsidR="007D611C">
        <w:rPr>
          <w:rFonts w:ascii="Cambria" w:eastAsia="新細明體" w:hAnsi="Cambria" w:cs="Times New Roman"/>
          <w:kern w:val="0"/>
          <w:szCs w:val="24"/>
        </w:rPr>
        <w:t xml:space="preserve">the </w:t>
      </w:r>
      <w:r w:rsidRPr="00FB7857">
        <w:rPr>
          <w:rFonts w:ascii="Cambria" w:eastAsia="新細明體" w:hAnsi="Cambria" w:cs="Times New Roman"/>
          <w:kern w:val="0"/>
          <w:szCs w:val="24"/>
        </w:rPr>
        <w:t>project in the locality in which it is undertaken.</w:t>
      </w:r>
    </w:p>
    <w:p w:rsidR="002C1B1A" w:rsidRPr="00FB7857" w:rsidRDefault="00E23979" w:rsidP="00E23979">
      <w:pPr>
        <w:widowControl/>
        <w:spacing w:before="100" w:beforeAutospacing="1" w:after="100" w:afterAutospacing="1"/>
        <w:ind w:left="1274" w:hangingChars="531" w:hanging="1274"/>
        <w:rPr>
          <w:rFonts w:ascii="Cambria" w:eastAsia="新細明體" w:hAnsi="Cambria" w:cs="Times New Roman"/>
          <w:kern w:val="0"/>
          <w:szCs w:val="24"/>
        </w:rPr>
      </w:pPr>
      <w:r w:rsidRPr="008461D8">
        <w:rPr>
          <w:rFonts w:ascii="Cambria" w:eastAsia="新細明體" w:hAnsi="Cambria" w:cs="Times New Roman"/>
          <w:kern w:val="0"/>
          <w:szCs w:val="24"/>
          <w:u w:val="single"/>
        </w:rPr>
        <w:t>Category II:</w:t>
      </w:r>
      <w:r w:rsidRPr="008461D8">
        <w:rPr>
          <w:rFonts w:ascii="Cambria" w:eastAsia="新細明體" w:hAnsi="Cambria" w:cs="Times New Roman"/>
          <w:kern w:val="0"/>
          <w:szCs w:val="24"/>
          <w:u w:val="single"/>
        </w:rPr>
        <w:tab/>
        <w:t>Promotion of Project Results</w:t>
      </w:r>
      <w:r w:rsidRPr="00FB7857">
        <w:rPr>
          <w:rFonts w:ascii="Cambria" w:eastAsia="新細明體" w:hAnsi="Cambria" w:cs="Times New Roman"/>
          <w:kern w:val="0"/>
          <w:szCs w:val="24"/>
        </w:rPr>
        <w:t xml:space="preserve"> (limited to </w:t>
      </w:r>
      <w:r w:rsidR="00B228D6" w:rsidRPr="00FB7857">
        <w:rPr>
          <w:rFonts w:ascii="Cambria" w:eastAsia="新細明體" w:hAnsi="Cambria" w:cs="Times New Roman"/>
          <w:kern w:val="0"/>
          <w:szCs w:val="24"/>
        </w:rPr>
        <w:t>further</w:t>
      </w:r>
      <w:r w:rsidRPr="00FB7857">
        <w:rPr>
          <w:rFonts w:ascii="Cambria" w:eastAsia="新細明體" w:hAnsi="Cambria" w:cs="Times New Roman"/>
          <w:kern w:val="0"/>
          <w:szCs w:val="24"/>
        </w:rPr>
        <w:t xml:space="preserve"> promotion of Category I project results)</w:t>
      </w:r>
    </w:p>
    <w:p w:rsidR="00E23979" w:rsidRPr="00FB7857" w:rsidRDefault="008977CF" w:rsidP="00E23979">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Grant</w:t>
      </w:r>
      <w:r w:rsidR="00E23979" w:rsidRPr="00FB7857">
        <w:rPr>
          <w:rFonts w:ascii="Cambria" w:eastAsia="新細明體" w:hAnsi="Cambria" w:cs="Times New Roman"/>
          <w:kern w:val="0"/>
          <w:szCs w:val="24"/>
        </w:rPr>
        <w:t xml:space="preserve"> amount and terms: </w:t>
      </w:r>
      <w:r w:rsidR="00A22CED" w:rsidRPr="00FB7857">
        <w:rPr>
          <w:rFonts w:ascii="Cambria" w:eastAsia="新細明體" w:hAnsi="Cambria" w:cs="Times New Roman"/>
          <w:kern w:val="0"/>
          <w:szCs w:val="24"/>
        </w:rPr>
        <w:t>The grant</w:t>
      </w:r>
      <w:r w:rsidR="00E23979" w:rsidRPr="00FB7857">
        <w:rPr>
          <w:rFonts w:ascii="Cambria" w:eastAsia="新細明體" w:hAnsi="Cambria" w:cs="Times New Roman"/>
          <w:kern w:val="0"/>
          <w:szCs w:val="24"/>
        </w:rPr>
        <w:t xml:space="preserve"> for each </w:t>
      </w:r>
      <w:r w:rsidR="00B228D6" w:rsidRPr="00FB7857">
        <w:rPr>
          <w:rFonts w:ascii="Cambria" w:eastAsia="新細明體" w:hAnsi="Cambria" w:cs="Times New Roman"/>
          <w:kern w:val="0"/>
          <w:szCs w:val="24"/>
        </w:rPr>
        <w:t>such application</w:t>
      </w:r>
      <w:r w:rsidR="00E23979" w:rsidRPr="00FB7857">
        <w:rPr>
          <w:rFonts w:ascii="Cambria" w:eastAsia="新細明體" w:hAnsi="Cambria" w:cs="Times New Roman"/>
          <w:kern w:val="0"/>
          <w:szCs w:val="24"/>
        </w:rPr>
        <w:t xml:space="preserve"> shall not exceed NT$1.5 million, and the Ministry will fund expenses based on consideration of the effectiveness of the proposed project</w:t>
      </w:r>
      <w:r w:rsidR="00B228D6" w:rsidRPr="00FB7857">
        <w:rPr>
          <w:rFonts w:ascii="Cambria" w:eastAsia="新細明體" w:hAnsi="Cambria" w:cs="Times New Roman"/>
          <w:kern w:val="0"/>
          <w:szCs w:val="24"/>
        </w:rPr>
        <w:t xml:space="preserve">. </w:t>
      </w:r>
      <w:r w:rsidR="003039D6" w:rsidRPr="00FB7857">
        <w:rPr>
          <w:rFonts w:ascii="Cambria" w:eastAsia="新細明體" w:hAnsi="Cambria" w:cs="Times New Roman"/>
          <w:kern w:val="0"/>
          <w:szCs w:val="24"/>
        </w:rPr>
        <w:t>Proposed promotions of</w:t>
      </w:r>
      <w:r w:rsidR="00B228D6" w:rsidRPr="00FB7857">
        <w:rPr>
          <w:rFonts w:ascii="Cambria" w:eastAsia="新細明體" w:hAnsi="Cambria" w:cs="Times New Roman"/>
          <w:kern w:val="0"/>
          <w:szCs w:val="24"/>
        </w:rPr>
        <w:t xml:space="preserve"> </w:t>
      </w:r>
      <w:r w:rsidR="003039D6" w:rsidRPr="00FB7857">
        <w:rPr>
          <w:rFonts w:ascii="Cambria" w:eastAsia="新細明體" w:hAnsi="Cambria" w:cs="Times New Roman"/>
          <w:kern w:val="0"/>
          <w:szCs w:val="24"/>
        </w:rPr>
        <w:t xml:space="preserve">project </w:t>
      </w:r>
      <w:r w:rsidR="00B228D6" w:rsidRPr="00FB7857">
        <w:rPr>
          <w:rFonts w:ascii="Cambria" w:eastAsia="新細明體" w:hAnsi="Cambria" w:cs="Times New Roman"/>
          <w:kern w:val="0"/>
          <w:szCs w:val="24"/>
        </w:rPr>
        <w:t xml:space="preserve">results </w:t>
      </w:r>
      <w:r w:rsidR="003039D6" w:rsidRPr="00FB7857">
        <w:rPr>
          <w:rFonts w:ascii="Cambria" w:eastAsia="新細明體" w:hAnsi="Cambria" w:cs="Times New Roman"/>
          <w:kern w:val="0"/>
          <w:szCs w:val="24"/>
        </w:rPr>
        <w:t>shall comprise joint exhibitions or creations by</w:t>
      </w:r>
      <w:r w:rsidR="00B228D6" w:rsidRPr="00FB7857">
        <w:rPr>
          <w:rFonts w:ascii="Cambria" w:eastAsia="新細明體" w:hAnsi="Cambria" w:cs="Times New Roman"/>
          <w:kern w:val="0"/>
          <w:szCs w:val="24"/>
        </w:rPr>
        <w:t xml:space="preserve"> project applicants and their Latin</w:t>
      </w:r>
      <w:r w:rsidR="007D611C">
        <w:rPr>
          <w:rFonts w:ascii="Cambria" w:eastAsia="新細明體" w:hAnsi="Cambria" w:cs="Times New Roman"/>
          <w:kern w:val="0"/>
          <w:szCs w:val="24"/>
        </w:rPr>
        <w:t xml:space="preserve"> </w:t>
      </w:r>
      <w:r w:rsidR="00B228D6" w:rsidRPr="00FB7857">
        <w:rPr>
          <w:rFonts w:ascii="Cambria" w:eastAsia="新細明體" w:hAnsi="Cambria" w:cs="Times New Roman"/>
          <w:kern w:val="0"/>
          <w:szCs w:val="24"/>
        </w:rPr>
        <w:t>American collaboration nominees</w:t>
      </w:r>
      <w:r w:rsidR="003039D6" w:rsidRPr="00FB7857">
        <w:rPr>
          <w:rFonts w:ascii="Cambria" w:eastAsia="新細明體" w:hAnsi="Cambria" w:cs="Times New Roman"/>
          <w:kern w:val="0"/>
          <w:szCs w:val="24"/>
        </w:rPr>
        <w:t xml:space="preserve">. Applicants may apply for </w:t>
      </w:r>
      <w:r w:rsidR="002434F4" w:rsidRPr="00FB7857">
        <w:rPr>
          <w:rFonts w:ascii="Cambria" w:eastAsia="新細明體" w:hAnsi="Cambria" w:cs="Times New Roman"/>
          <w:kern w:val="0"/>
          <w:szCs w:val="24"/>
        </w:rPr>
        <w:t>return</w:t>
      </w:r>
      <w:r w:rsidR="003039D6" w:rsidRPr="00FB7857">
        <w:rPr>
          <w:rFonts w:ascii="Cambria" w:eastAsia="新細明體" w:hAnsi="Cambria" w:cs="Times New Roman"/>
          <w:kern w:val="0"/>
          <w:szCs w:val="24"/>
        </w:rPr>
        <w:t xml:space="preserve"> of the said results from their locality of creation to Taiwan or </w:t>
      </w:r>
      <w:r w:rsidR="00D52B8A" w:rsidRPr="00FB7857">
        <w:rPr>
          <w:rFonts w:ascii="Cambria" w:eastAsia="新細明體" w:hAnsi="Cambria" w:cs="Times New Roman"/>
          <w:kern w:val="0"/>
          <w:szCs w:val="24"/>
        </w:rPr>
        <w:t xml:space="preserve">for the cost requirements of </w:t>
      </w:r>
      <w:r w:rsidR="002434F4" w:rsidRPr="00FB7857">
        <w:rPr>
          <w:rFonts w:ascii="Cambria" w:eastAsia="新細明體" w:hAnsi="Cambria" w:cs="Times New Roman"/>
          <w:kern w:val="0"/>
          <w:szCs w:val="24"/>
        </w:rPr>
        <w:t>launching</w:t>
      </w:r>
      <w:r w:rsidR="00D52B8A" w:rsidRPr="00FB7857">
        <w:rPr>
          <w:rFonts w:ascii="Cambria" w:eastAsia="新細明體" w:hAnsi="Cambria" w:cs="Times New Roman"/>
          <w:kern w:val="0"/>
          <w:szCs w:val="24"/>
        </w:rPr>
        <w:t xml:space="preserve"> the project in a Latin</w:t>
      </w:r>
      <w:r w:rsidR="007D611C">
        <w:rPr>
          <w:rFonts w:ascii="Cambria" w:eastAsia="新細明體" w:hAnsi="Cambria" w:cs="Times New Roman"/>
          <w:kern w:val="0"/>
          <w:szCs w:val="24"/>
        </w:rPr>
        <w:t xml:space="preserve"> </w:t>
      </w:r>
      <w:r w:rsidR="00D52B8A" w:rsidRPr="00FB7857">
        <w:rPr>
          <w:rFonts w:ascii="Cambria" w:eastAsia="新細明體" w:hAnsi="Cambria" w:cs="Times New Roman"/>
          <w:kern w:val="0"/>
          <w:szCs w:val="24"/>
        </w:rPr>
        <w:t xml:space="preserve">American nation as defined in </w:t>
      </w:r>
      <w:r w:rsidR="007D611C">
        <w:rPr>
          <w:rFonts w:ascii="Cambria" w:eastAsia="新細明體" w:hAnsi="Cambria" w:cs="Times New Roman"/>
          <w:kern w:val="0"/>
          <w:szCs w:val="24"/>
        </w:rPr>
        <w:t>Article II</w:t>
      </w:r>
      <w:r w:rsidR="00D52B8A" w:rsidRPr="00FB7857">
        <w:rPr>
          <w:rFonts w:ascii="Cambria" w:eastAsia="新細明體" w:hAnsi="Cambria" w:cs="Times New Roman"/>
          <w:kern w:val="0"/>
          <w:szCs w:val="24"/>
        </w:rPr>
        <w:t>; however, funding of travel to Latin America for promotional purposes is limited to festivals, exhibitions, touring exhibitions or performances of a major or international nature in the said region.</w:t>
      </w:r>
    </w:p>
    <w:p w:rsidR="00E23979" w:rsidRPr="00FB7857" w:rsidRDefault="00E23979" w:rsidP="00E23979">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lastRenderedPageBreak/>
        <w:t>Fund</w:t>
      </w:r>
      <w:r w:rsidR="00026D6A" w:rsidRPr="00FB7857">
        <w:rPr>
          <w:rFonts w:ascii="Cambria" w:eastAsia="新細明體" w:hAnsi="Cambria" w:cs="Times New Roman"/>
          <w:kern w:val="0"/>
          <w:szCs w:val="24"/>
        </w:rPr>
        <w:t xml:space="preserve">ed items: </w:t>
      </w:r>
      <w:r w:rsidR="009E44BE" w:rsidRPr="00FB7857">
        <w:rPr>
          <w:rFonts w:ascii="Cambria" w:eastAsia="新細明體" w:hAnsi="Cambria" w:cs="Times New Roman"/>
          <w:kern w:val="0"/>
          <w:szCs w:val="24"/>
        </w:rPr>
        <w:t>Air fare of individuals directly connected to the project, artifact transportation, insurance, performance fees, publicity, translation fees and other relevant expenses approved by the Ministry. However, routine personnel expenses, building, equipment and materials costs are not included.</w:t>
      </w:r>
    </w:p>
    <w:p w:rsidR="00CA00DE" w:rsidRPr="00CA00DE" w:rsidRDefault="00CA00DE" w:rsidP="00CA00DE">
      <w:pPr>
        <w:pStyle w:val="a7"/>
        <w:ind w:leftChars="0" w:left="720"/>
        <w:rPr>
          <w:rFonts w:ascii="Cambria" w:hAnsi="Cambria"/>
        </w:rPr>
      </w:pPr>
    </w:p>
    <w:p w:rsidR="00CA00DE" w:rsidRPr="00CA00DE" w:rsidRDefault="00CA00DE" w:rsidP="00CA00DE">
      <w:pPr>
        <w:rPr>
          <w:rFonts w:ascii="Cambria" w:hAnsi="Cambria"/>
          <w:b/>
        </w:rPr>
      </w:pPr>
      <w:r w:rsidRPr="00CA00DE">
        <w:rPr>
          <w:rFonts w:ascii="Cambria" w:hAnsi="Cambria"/>
          <w:b/>
        </w:rPr>
        <w:t>VI. Application Procedure</w:t>
      </w:r>
    </w:p>
    <w:p w:rsidR="00CA00DE" w:rsidRPr="00CA00DE" w:rsidRDefault="00CA00DE" w:rsidP="00CA00DE">
      <w:pPr>
        <w:rPr>
          <w:rFonts w:ascii="Cambria" w:hAnsi="Cambria"/>
        </w:rPr>
      </w:pPr>
    </w:p>
    <w:p w:rsidR="00CA00DE" w:rsidRPr="00CA00DE" w:rsidRDefault="00CA00DE" w:rsidP="00CA00DE">
      <w:pPr>
        <w:pStyle w:val="a7"/>
        <w:numPr>
          <w:ilvl w:val="0"/>
          <w:numId w:val="1"/>
        </w:numPr>
        <w:ind w:leftChars="0"/>
        <w:rPr>
          <w:rFonts w:ascii="Cambria" w:hAnsi="Cambria"/>
        </w:rPr>
      </w:pPr>
      <w:r w:rsidRPr="00CA00DE">
        <w:rPr>
          <w:rFonts w:ascii="Cambria" w:hAnsi="Cambria"/>
        </w:rPr>
        <w:t>The Ministry, in principle, will hold an open call once a year. The submission and implementation dates will be announced separately from these Guidelines and Procedures.</w:t>
      </w:r>
    </w:p>
    <w:p w:rsidR="00CA00DE" w:rsidRPr="00CA00DE" w:rsidRDefault="00CA00DE" w:rsidP="00CA00DE">
      <w:pPr>
        <w:pStyle w:val="a7"/>
        <w:ind w:leftChars="0" w:left="720"/>
        <w:rPr>
          <w:rFonts w:ascii="Cambria" w:hAnsi="Cambria"/>
        </w:rPr>
      </w:pPr>
    </w:p>
    <w:p w:rsidR="00CA00DE" w:rsidRPr="00CA00DE" w:rsidRDefault="00CA00DE" w:rsidP="00CA00DE">
      <w:pPr>
        <w:pStyle w:val="a7"/>
        <w:numPr>
          <w:ilvl w:val="0"/>
          <w:numId w:val="1"/>
        </w:numPr>
        <w:ind w:leftChars="0"/>
        <w:rPr>
          <w:rFonts w:ascii="Cambria" w:hAnsi="Cambria"/>
        </w:rPr>
      </w:pPr>
      <w:r w:rsidRPr="00CA00DE">
        <w:rPr>
          <w:rFonts w:ascii="Cambria" w:hAnsi="Cambria"/>
        </w:rPr>
        <w:t>Applicants are required to apply online at the Ministry’s grants information website (</w:t>
      </w:r>
      <w:hyperlink r:id="rId8" w:history="1">
        <w:r w:rsidRPr="00CA00DE">
          <w:rPr>
            <w:rStyle w:val="a9"/>
            <w:rFonts w:ascii="Cambria" w:hAnsi="Cambria"/>
          </w:rPr>
          <w:t>https://grants.moc.gov.tw/</w:t>
        </w:r>
      </w:hyperlink>
      <w:r w:rsidRPr="00CA00DE">
        <w:rPr>
          <w:rStyle w:val="a9"/>
          <w:rFonts w:ascii="Cambria" w:hAnsi="Cambria"/>
        </w:rPr>
        <w:t>)</w:t>
      </w:r>
      <w:r w:rsidRPr="00CA00DE">
        <w:rPr>
          <w:rFonts w:ascii="Cambria" w:hAnsi="Cambria"/>
        </w:rPr>
        <w:t xml:space="preserve"> and deliver their application in person (or by proxy) or post it by the specified deadline. Application packages, which should include the materials specified in Article XII of these Guidelines, are to be directed to: "Ministry of Culture, Dept. of Cultural Exchanges, Latin America and International Information Section.” The front of the submitted envelope shall be labeled "Application </w:t>
      </w:r>
      <w:r w:rsidRPr="00CA00DE">
        <w:rPr>
          <w:rFonts w:ascii="新細明體" w:eastAsia="新細明體" w:hAnsi="新細明體" w:hint="eastAsia"/>
        </w:rPr>
        <w:t>—</w:t>
      </w:r>
      <w:r w:rsidRPr="00CA00DE">
        <w:rPr>
          <w:rFonts w:ascii="Cambria" w:hAnsi="Cambria"/>
        </w:rPr>
        <w:t xml:space="preserve"> Cultural Exchanges and Collaborative Projects between Taiwan and Latin America.”</w:t>
      </w:r>
      <w:r>
        <w:rPr>
          <w:rFonts w:ascii="Cambria" w:hAnsi="Cambria"/>
        </w:rPr>
        <w:t xml:space="preserve"> </w:t>
      </w:r>
      <w:r w:rsidRPr="00CA00DE">
        <w:rPr>
          <w:rFonts w:ascii="Cambria" w:hAnsi="Cambria"/>
        </w:rPr>
        <w:t>The postmark shall serve as proof of submission by the set deadline for mailed applications; the date stamped by the receiving unit will serve the same function for hand-delivered applications. Late applications (defined as received after 5pm on the specified deadline) will not be reviewed.</w:t>
      </w:r>
    </w:p>
    <w:p w:rsidR="00CA00DE" w:rsidRPr="00CA00DE" w:rsidRDefault="00CA00DE" w:rsidP="00CA00DE">
      <w:pPr>
        <w:ind w:left="360"/>
        <w:rPr>
          <w:rFonts w:ascii="Cambria" w:hAnsi="Cambria"/>
        </w:rPr>
      </w:pPr>
    </w:p>
    <w:p w:rsidR="00CA00DE" w:rsidRPr="00CA00DE" w:rsidRDefault="00CA00DE" w:rsidP="00CA00DE">
      <w:pPr>
        <w:rPr>
          <w:rFonts w:ascii="Cambria" w:hAnsi="Cambria"/>
          <w:b/>
        </w:rPr>
      </w:pPr>
      <w:r w:rsidRPr="00CA00DE">
        <w:rPr>
          <w:rFonts w:ascii="Cambria" w:hAnsi="Cambria"/>
          <w:b/>
        </w:rPr>
        <w:t>VII. Application Details</w:t>
      </w:r>
    </w:p>
    <w:p w:rsidR="00CA00DE" w:rsidRPr="00CA00DE" w:rsidRDefault="00CA00DE" w:rsidP="00CA00DE">
      <w:pPr>
        <w:rPr>
          <w:rFonts w:ascii="Cambria" w:hAnsi="Cambria"/>
        </w:rPr>
      </w:pPr>
    </w:p>
    <w:p w:rsidR="00CA00DE" w:rsidRPr="00CA00DE" w:rsidRDefault="00CA00DE" w:rsidP="00CA00DE">
      <w:pPr>
        <w:pStyle w:val="a7"/>
        <w:numPr>
          <w:ilvl w:val="0"/>
          <w:numId w:val="1"/>
        </w:numPr>
        <w:ind w:leftChars="0"/>
        <w:rPr>
          <w:rFonts w:ascii="Cambria" w:hAnsi="Cambria"/>
        </w:rPr>
      </w:pPr>
      <w:r w:rsidRPr="00CA00DE">
        <w:rPr>
          <w:rFonts w:ascii="Cambria" w:hAnsi="Cambria"/>
        </w:rPr>
        <w:t>Applications are to include seven (7) copies of the project proposal and required documents. Application packages will not be returned regardless of the funding decision; applicants are not to request their return.</w:t>
      </w:r>
    </w:p>
    <w:p w:rsidR="00CA00DE" w:rsidRPr="00CA00DE" w:rsidRDefault="00CA00DE" w:rsidP="00CA00DE">
      <w:pPr>
        <w:pStyle w:val="a7"/>
        <w:ind w:leftChars="0" w:left="720"/>
        <w:rPr>
          <w:rFonts w:ascii="Cambria" w:hAnsi="Cambria"/>
        </w:rPr>
      </w:pPr>
    </w:p>
    <w:p w:rsidR="00CA00DE" w:rsidRDefault="00CA00DE" w:rsidP="00CA00DE">
      <w:pPr>
        <w:pStyle w:val="a7"/>
        <w:numPr>
          <w:ilvl w:val="0"/>
          <w:numId w:val="1"/>
        </w:numPr>
        <w:ind w:leftChars="0"/>
        <w:rPr>
          <w:rFonts w:ascii="Cambria" w:hAnsi="Cambria"/>
        </w:rPr>
      </w:pPr>
      <w:r>
        <w:rPr>
          <w:rFonts w:ascii="Cambria" w:hAnsi="Cambria"/>
        </w:rPr>
        <w:t>D</w:t>
      </w:r>
      <w:r w:rsidRPr="00CA00DE">
        <w:rPr>
          <w:rFonts w:ascii="Cambria" w:hAnsi="Cambria"/>
        </w:rPr>
        <w:t>ocument format will be announced s</w:t>
      </w:r>
      <w:r>
        <w:rPr>
          <w:rFonts w:ascii="Cambria" w:hAnsi="Cambria"/>
        </w:rPr>
        <w:t xml:space="preserve">eparately from these Guidelines. </w:t>
      </w:r>
      <w:r w:rsidRPr="00CA00DE">
        <w:rPr>
          <w:rFonts w:ascii="Cambria" w:hAnsi="Cambria"/>
        </w:rPr>
        <w:t>The app</w:t>
      </w:r>
      <w:r>
        <w:rPr>
          <w:rFonts w:ascii="Cambria" w:hAnsi="Cambria"/>
        </w:rPr>
        <w:t>lication package should include:</w:t>
      </w:r>
    </w:p>
    <w:p w:rsidR="00CA00DE" w:rsidRPr="00CA00DE" w:rsidRDefault="00CA00DE" w:rsidP="00CA00DE">
      <w:pPr>
        <w:rPr>
          <w:rFonts w:ascii="Cambria" w:hAnsi="Cambria"/>
        </w:rPr>
      </w:pPr>
    </w:p>
    <w:p w:rsidR="00CA00DE" w:rsidRPr="008461D8" w:rsidRDefault="00CA00DE" w:rsidP="008461D8">
      <w:pPr>
        <w:pStyle w:val="a7"/>
        <w:numPr>
          <w:ilvl w:val="0"/>
          <w:numId w:val="2"/>
        </w:numPr>
        <w:tabs>
          <w:tab w:val="clear" w:pos="720"/>
          <w:tab w:val="num" w:pos="1200"/>
        </w:tabs>
        <w:ind w:leftChars="350" w:left="1200"/>
        <w:rPr>
          <w:rFonts w:ascii="Cambria" w:hAnsi="Cambria"/>
        </w:rPr>
      </w:pPr>
      <w:r w:rsidRPr="00CA00DE">
        <w:rPr>
          <w:rFonts w:ascii="Cambria" w:hAnsi="Cambria"/>
        </w:rPr>
        <w:t>Online application form (</w:t>
      </w:r>
      <w:hyperlink r:id="rId9" w:history="1">
        <w:r w:rsidRPr="00CA00DE">
          <w:rPr>
            <w:rStyle w:val="a9"/>
            <w:rFonts w:ascii="Cambria" w:hAnsi="Cambria"/>
          </w:rPr>
          <w:t>https://grants.moc.gov.tw/</w:t>
        </w:r>
      </w:hyperlink>
      <w:r w:rsidRPr="00CA00DE">
        <w:rPr>
          <w:rFonts w:ascii="Cambria" w:hAnsi="Cambria"/>
        </w:rPr>
        <w:t>)</w:t>
      </w:r>
    </w:p>
    <w:p w:rsidR="00CA00DE" w:rsidRPr="00CA00DE" w:rsidRDefault="00CA00DE" w:rsidP="00CA00DE">
      <w:pPr>
        <w:pStyle w:val="a7"/>
        <w:numPr>
          <w:ilvl w:val="0"/>
          <w:numId w:val="2"/>
        </w:numPr>
        <w:tabs>
          <w:tab w:val="clear" w:pos="720"/>
          <w:tab w:val="num" w:pos="1200"/>
        </w:tabs>
        <w:ind w:leftChars="350" w:left="1200"/>
        <w:rPr>
          <w:rFonts w:ascii="Cambria" w:hAnsi="Cambria"/>
        </w:rPr>
      </w:pPr>
      <w:r w:rsidRPr="00CA00DE">
        <w:rPr>
          <w:rFonts w:ascii="Cambria" w:hAnsi="Cambria"/>
        </w:rPr>
        <w:t>Registration certificate of the applying organization and a summary of its current operations.</w:t>
      </w:r>
    </w:p>
    <w:p w:rsidR="00CA00DE" w:rsidRPr="00CA00DE" w:rsidRDefault="00CA00DE" w:rsidP="00CA00DE">
      <w:pPr>
        <w:pStyle w:val="a7"/>
        <w:numPr>
          <w:ilvl w:val="0"/>
          <w:numId w:val="2"/>
        </w:numPr>
        <w:tabs>
          <w:tab w:val="clear" w:pos="720"/>
          <w:tab w:val="num" w:pos="1200"/>
        </w:tabs>
        <w:ind w:leftChars="350" w:left="1200"/>
        <w:rPr>
          <w:rFonts w:ascii="Cambria" w:hAnsi="Cambria"/>
        </w:rPr>
      </w:pPr>
      <w:r w:rsidRPr="00CA00DE">
        <w:rPr>
          <w:rFonts w:ascii="Cambria" w:hAnsi="Cambria"/>
        </w:rPr>
        <w:lastRenderedPageBreak/>
        <w:t>A project proposal, including</w:t>
      </w:r>
      <w:r w:rsidRPr="00CA00DE">
        <w:rPr>
          <w:rFonts w:ascii="Cambria" w:hAnsi="Cambria" w:hint="eastAsia"/>
        </w:rPr>
        <w:t xml:space="preserve"> </w:t>
      </w:r>
      <w:r w:rsidRPr="00CA00DE">
        <w:rPr>
          <w:rFonts w:ascii="Cambria" w:hAnsi="Cambria"/>
        </w:rPr>
        <w:t>supporting documentation of relevant cultural exchange activities organized by the applying organization. Documentation may be presented through audiovisual materials, reports, pictures, posters, or media coverage.</w:t>
      </w:r>
    </w:p>
    <w:p w:rsidR="00CA00DE" w:rsidRPr="00CA00DE" w:rsidRDefault="00CA00DE" w:rsidP="00CA00DE">
      <w:pPr>
        <w:pStyle w:val="a7"/>
        <w:numPr>
          <w:ilvl w:val="0"/>
          <w:numId w:val="2"/>
        </w:numPr>
        <w:tabs>
          <w:tab w:val="clear" w:pos="720"/>
          <w:tab w:val="num" w:pos="1200"/>
        </w:tabs>
        <w:ind w:leftChars="350" w:left="1200"/>
        <w:rPr>
          <w:rFonts w:ascii="Cambria" w:hAnsi="Cambria"/>
        </w:rPr>
      </w:pPr>
      <w:r w:rsidRPr="00CA00DE">
        <w:rPr>
          <w:rFonts w:ascii="Cambria" w:hAnsi="Cambria"/>
        </w:rPr>
        <w:t xml:space="preserve">A summary report on all the cultural professionals expected to participate in the project. </w:t>
      </w:r>
    </w:p>
    <w:p w:rsidR="00CA00DE" w:rsidRPr="00CA00DE" w:rsidRDefault="00CA00DE" w:rsidP="00CA00DE">
      <w:pPr>
        <w:pStyle w:val="a7"/>
        <w:numPr>
          <w:ilvl w:val="0"/>
          <w:numId w:val="2"/>
        </w:numPr>
        <w:tabs>
          <w:tab w:val="clear" w:pos="720"/>
          <w:tab w:val="num" w:pos="1200"/>
        </w:tabs>
        <w:ind w:leftChars="350" w:left="1200"/>
        <w:rPr>
          <w:rFonts w:ascii="Cambria" w:hAnsi="Cambria"/>
        </w:rPr>
      </w:pPr>
      <w:r w:rsidRPr="00CA00DE">
        <w:rPr>
          <w:rFonts w:ascii="Cambria" w:hAnsi="Cambria"/>
        </w:rPr>
        <w:t>A letter of intent of cooperation signed by the Latin American cultural professionals expected to participate in the project, along with their contact information. (For Category I applicants only)</w:t>
      </w:r>
    </w:p>
    <w:p w:rsidR="00CA00DE" w:rsidRPr="00CA00DE" w:rsidRDefault="00CA00DE" w:rsidP="00CA00DE">
      <w:pPr>
        <w:pStyle w:val="a7"/>
        <w:numPr>
          <w:ilvl w:val="0"/>
          <w:numId w:val="2"/>
        </w:numPr>
        <w:tabs>
          <w:tab w:val="clear" w:pos="720"/>
          <w:tab w:val="num" w:pos="1200"/>
        </w:tabs>
        <w:ind w:leftChars="350" w:left="1200"/>
        <w:rPr>
          <w:rFonts w:ascii="Cambria" w:hAnsi="Cambria"/>
        </w:rPr>
      </w:pPr>
      <w:r w:rsidRPr="00CA00DE">
        <w:rPr>
          <w:rFonts w:ascii="Cambria" w:hAnsi="Cambria"/>
        </w:rPr>
        <w:t xml:space="preserve">An invitation letter from a cultural event of a major or international nature in Latin America, along with a summary of its program. (For Category II applicants only) </w:t>
      </w:r>
    </w:p>
    <w:p w:rsidR="00CA00DE" w:rsidRPr="00CA00DE" w:rsidRDefault="00CA00DE" w:rsidP="00CA00DE">
      <w:pPr>
        <w:pStyle w:val="a7"/>
        <w:numPr>
          <w:ilvl w:val="0"/>
          <w:numId w:val="2"/>
        </w:numPr>
        <w:tabs>
          <w:tab w:val="clear" w:pos="720"/>
          <w:tab w:val="num" w:pos="1200"/>
        </w:tabs>
        <w:ind w:leftChars="350" w:left="1200"/>
        <w:rPr>
          <w:rFonts w:ascii="Cambria" w:hAnsi="Cambria"/>
        </w:rPr>
      </w:pPr>
      <w:r w:rsidRPr="00CA00DE">
        <w:rPr>
          <w:rFonts w:ascii="Cambria" w:hAnsi="Cambria"/>
        </w:rPr>
        <w:t xml:space="preserve">A budget table listing all expected expenditures. </w:t>
      </w:r>
    </w:p>
    <w:p w:rsidR="00CA00DE" w:rsidRPr="00CA00DE" w:rsidRDefault="00CA00DE" w:rsidP="00CA00DE">
      <w:pPr>
        <w:pStyle w:val="a7"/>
        <w:numPr>
          <w:ilvl w:val="0"/>
          <w:numId w:val="2"/>
        </w:numPr>
        <w:tabs>
          <w:tab w:val="clear" w:pos="720"/>
          <w:tab w:val="num" w:pos="1200"/>
        </w:tabs>
        <w:ind w:leftChars="350" w:left="1200"/>
        <w:rPr>
          <w:rFonts w:ascii="Cambria" w:hAnsi="Cambria"/>
        </w:rPr>
      </w:pPr>
      <w:r w:rsidRPr="00CA00DE">
        <w:rPr>
          <w:rFonts w:ascii="Cambria" w:hAnsi="Cambria"/>
        </w:rPr>
        <w:t xml:space="preserve">An affidavit. </w:t>
      </w:r>
    </w:p>
    <w:p w:rsidR="00CA00DE" w:rsidRPr="00CA00DE" w:rsidRDefault="00CA00DE" w:rsidP="00CA00DE">
      <w:pPr>
        <w:rPr>
          <w:rFonts w:ascii="Cambria" w:hAnsi="Cambria"/>
        </w:rPr>
      </w:pPr>
    </w:p>
    <w:p w:rsidR="00A633AD" w:rsidRPr="00FB7857" w:rsidRDefault="007D611C" w:rsidP="00EE5660">
      <w:pPr>
        <w:rPr>
          <w:rFonts w:ascii="Cambria" w:hAnsi="Cambria" w:cs="Times New Roman"/>
          <w:b/>
          <w:szCs w:val="24"/>
        </w:rPr>
      </w:pPr>
      <w:r>
        <w:rPr>
          <w:rFonts w:ascii="Cambria" w:hAnsi="Cambria" w:cs="Times New Roman"/>
          <w:b/>
          <w:szCs w:val="24"/>
        </w:rPr>
        <w:t xml:space="preserve">VIII. </w:t>
      </w:r>
      <w:r w:rsidR="00C37F8D" w:rsidRPr="00FB7857">
        <w:rPr>
          <w:rFonts w:ascii="Cambria" w:hAnsi="Cambria" w:cs="Times New Roman"/>
          <w:b/>
          <w:szCs w:val="24"/>
        </w:rPr>
        <w:t xml:space="preserve">Evaluation and </w:t>
      </w:r>
      <w:r w:rsidR="00494204" w:rsidRPr="00FB7857">
        <w:rPr>
          <w:rFonts w:ascii="Cambria" w:hAnsi="Cambria" w:cs="Times New Roman"/>
          <w:b/>
          <w:szCs w:val="24"/>
        </w:rPr>
        <w:t>Approval</w:t>
      </w:r>
    </w:p>
    <w:p w:rsidR="00B534AD" w:rsidRPr="00FB7857" w:rsidRDefault="007E60E1" w:rsidP="00B534AD">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The Ministry shall form an evaluation committee by engaging experts and scholars to undertake an initial review of the professional expertise and experience of the applicant as well as the importance, professionalism, benefits, feasibility,</w:t>
      </w:r>
      <w:r w:rsidR="007D611C">
        <w:rPr>
          <w:rFonts w:ascii="Cambria" w:eastAsia="新細明體" w:hAnsi="Cambria" w:cs="Times New Roman"/>
          <w:kern w:val="0"/>
          <w:szCs w:val="24"/>
        </w:rPr>
        <w:t xml:space="preserve"> and</w:t>
      </w:r>
      <w:r w:rsidRPr="00FB7857">
        <w:rPr>
          <w:rFonts w:ascii="Cambria" w:eastAsia="新細明體" w:hAnsi="Cambria" w:cs="Times New Roman"/>
          <w:kern w:val="0"/>
          <w:szCs w:val="24"/>
        </w:rPr>
        <w:t xml:space="preserve"> soundness of the budget and funding requirements</w:t>
      </w:r>
      <w:r w:rsidR="00CB3350" w:rsidRPr="00FB7857">
        <w:rPr>
          <w:rFonts w:ascii="Cambria" w:eastAsia="新細明體" w:hAnsi="Cambria" w:cs="Times New Roman"/>
          <w:kern w:val="0"/>
          <w:szCs w:val="24"/>
        </w:rPr>
        <w:t xml:space="preserve"> </w:t>
      </w:r>
      <w:r w:rsidRPr="00FB7857">
        <w:rPr>
          <w:rFonts w:ascii="Cambria" w:eastAsia="新細明體" w:hAnsi="Cambria" w:cs="Times New Roman"/>
          <w:kern w:val="0"/>
          <w:szCs w:val="24"/>
        </w:rPr>
        <w:t xml:space="preserve">of the project(s). The committee will submit a list of suggested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 xml:space="preserve">s and funding amounts, and the Ministry will approve the actual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s and funding amounts</w:t>
      </w:r>
      <w:r w:rsidR="00B11CF3" w:rsidRPr="00FB7857">
        <w:rPr>
          <w:rFonts w:ascii="Cambria" w:eastAsia="新細明體" w:hAnsi="Cambria" w:cs="Times New Roman"/>
          <w:kern w:val="0"/>
          <w:szCs w:val="24"/>
        </w:rPr>
        <w:t>.</w:t>
      </w:r>
    </w:p>
    <w:p w:rsidR="00B534AD" w:rsidRPr="00FB7857" w:rsidRDefault="00B534AD" w:rsidP="00B534AD">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Experts and scholars who decide to join the evaluation committee are required to sign a consent form with the Ministry. Upon the completion of the evaluation process, the Ministry will release the names of both the selected funding recipients and those who sat on the evaluation committee per agreement of the signed consent form. </w:t>
      </w:r>
    </w:p>
    <w:p w:rsidR="00B534AD" w:rsidRPr="00FB7857" w:rsidRDefault="00B534AD" w:rsidP="00B534AD">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In accordance with the evaluation guidelines stipulated in </w:t>
      </w:r>
      <w:r w:rsidR="007D611C">
        <w:rPr>
          <w:rFonts w:ascii="Cambria" w:eastAsia="新細明體" w:hAnsi="Cambria" w:cs="Times New Roman"/>
          <w:kern w:val="0"/>
          <w:szCs w:val="24"/>
        </w:rPr>
        <w:t>Article I</w:t>
      </w:r>
      <w:r w:rsidRPr="00FB7857">
        <w:rPr>
          <w:rFonts w:ascii="Cambria" w:eastAsia="新細明體" w:hAnsi="Cambria" w:cs="Times New Roman"/>
          <w:kern w:val="0"/>
          <w:szCs w:val="24"/>
        </w:rPr>
        <w:t>, the Ministry will make relevant information publicly available once the funding recipients are formally notified. This information includes the list of recipients and their project titles, the amounts granted, and the names of all evaluation committee members. This data will also be posted on the Ministry’s grants information website.</w:t>
      </w:r>
    </w:p>
    <w:p w:rsidR="007E60E1" w:rsidRPr="00FB7857" w:rsidRDefault="00B534AD" w:rsidP="00B534AD">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Committee decisions may be made when a quorum of two-thirds of members is present. One half of this number may count as a majority for voting purposes. Members are to abide by the principle of recusal and engage in fair appraisals. Committee members shall recuse themselves </w:t>
      </w:r>
      <w:r w:rsidRPr="00FB7857">
        <w:rPr>
          <w:rFonts w:ascii="Cambria" w:eastAsia="新細明體" w:hAnsi="Cambria" w:cs="Times New Roman"/>
          <w:kern w:val="0"/>
          <w:szCs w:val="24"/>
        </w:rPr>
        <w:lastRenderedPageBreak/>
        <w:t>when the provisions of Article 32 and Article 33 of the Administrative Procedure Act apply.</w:t>
      </w:r>
    </w:p>
    <w:p w:rsidR="007E60E1" w:rsidRPr="00FB7857" w:rsidRDefault="00B534AD" w:rsidP="00B534AD">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The Ministry shall dispatch personnel at irregular intervals to conduct an evaluation of the project’s execution. Funding recipients shall make certain adjustments based on the Ministry’s evaluations.</w:t>
      </w:r>
    </w:p>
    <w:p w:rsidR="00C37F8D" w:rsidRPr="00FB7857" w:rsidRDefault="007D611C" w:rsidP="00EE5660">
      <w:pPr>
        <w:rPr>
          <w:rFonts w:ascii="Cambria" w:hAnsi="Cambria" w:cs="Times New Roman"/>
          <w:b/>
          <w:szCs w:val="24"/>
        </w:rPr>
      </w:pPr>
      <w:r>
        <w:rPr>
          <w:rFonts w:ascii="Cambria" w:hAnsi="Cambria" w:cs="Times New Roman"/>
          <w:b/>
          <w:szCs w:val="24"/>
        </w:rPr>
        <w:t xml:space="preserve">IX. </w:t>
      </w:r>
      <w:r w:rsidR="00B11CF3" w:rsidRPr="00FB7857">
        <w:rPr>
          <w:rFonts w:ascii="Cambria" w:hAnsi="Cambria" w:cs="Times New Roman"/>
          <w:b/>
          <w:szCs w:val="24"/>
        </w:rPr>
        <w:t>Remittances and Audits</w:t>
      </w:r>
    </w:p>
    <w:p w:rsidR="00B11CF3" w:rsidRPr="00FB7857" w:rsidRDefault="00B11CF3" w:rsidP="00B11CF3">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Funds shall be remitted in two </w:t>
      </w:r>
      <w:r w:rsidR="00CF5B03" w:rsidRPr="00FB7857">
        <w:rPr>
          <w:rFonts w:ascii="Cambria" w:eastAsia="新細明體" w:hAnsi="Cambria" w:cs="Times New Roman"/>
          <w:kern w:val="0"/>
          <w:szCs w:val="24"/>
        </w:rPr>
        <w:t>phases</w:t>
      </w:r>
      <w:r w:rsidRPr="00FB7857">
        <w:rPr>
          <w:rFonts w:ascii="Cambria" w:eastAsia="新細明體" w:hAnsi="Cambria" w:cs="Times New Roman"/>
          <w:kern w:val="0"/>
          <w:szCs w:val="24"/>
        </w:rPr>
        <w:t xml:space="preserve">: </w:t>
      </w:r>
      <w:r w:rsidR="00CF5B03" w:rsidRPr="00FB7857">
        <w:rPr>
          <w:rFonts w:ascii="Cambria" w:eastAsia="新細明體" w:hAnsi="Cambria" w:cs="Times New Roman"/>
          <w:kern w:val="0"/>
          <w:szCs w:val="24"/>
        </w:rPr>
        <w:t>Phase</w:t>
      </w:r>
      <w:r w:rsidRPr="00FB7857">
        <w:rPr>
          <w:rFonts w:ascii="Cambria" w:eastAsia="新細明體" w:hAnsi="Cambria" w:cs="Times New Roman"/>
          <w:kern w:val="0"/>
          <w:szCs w:val="24"/>
        </w:rPr>
        <w:t xml:space="preserve"> </w:t>
      </w:r>
      <w:r w:rsidR="00CF5B03" w:rsidRPr="00FB7857">
        <w:rPr>
          <w:rFonts w:ascii="Cambria" w:eastAsia="新細明體" w:hAnsi="Cambria" w:cs="Times New Roman"/>
          <w:kern w:val="0"/>
          <w:szCs w:val="24"/>
        </w:rPr>
        <w:t>1</w:t>
      </w:r>
      <w:r w:rsidRPr="00FB7857">
        <w:rPr>
          <w:rFonts w:ascii="Cambria" w:eastAsia="新細明體" w:hAnsi="Cambria" w:cs="Times New Roman"/>
          <w:kern w:val="0"/>
          <w:szCs w:val="24"/>
        </w:rPr>
        <w:t xml:space="preserve"> (50 percent of the total) — shall, in principle, be remitted within 30 days of the applicant’s signing of a contract with the Ministry and submission of a receipt. </w:t>
      </w:r>
      <w:r w:rsidR="00CF5B03" w:rsidRPr="00FB7857">
        <w:rPr>
          <w:rFonts w:ascii="Cambria" w:eastAsia="新細明體" w:hAnsi="Cambria" w:cs="Times New Roman"/>
          <w:kern w:val="0"/>
          <w:szCs w:val="24"/>
        </w:rPr>
        <w:t>For</w:t>
      </w:r>
      <w:r w:rsidRPr="00FB7857">
        <w:rPr>
          <w:rFonts w:ascii="Cambria" w:eastAsia="新細明體" w:hAnsi="Cambria" w:cs="Times New Roman"/>
          <w:kern w:val="0"/>
          <w:szCs w:val="24"/>
        </w:rPr>
        <w:t xml:space="preserve"> </w:t>
      </w:r>
      <w:r w:rsidR="00CF5B03" w:rsidRPr="00FB7857">
        <w:rPr>
          <w:rFonts w:ascii="Cambria" w:eastAsia="新細明體" w:hAnsi="Cambria" w:cs="Times New Roman"/>
          <w:kern w:val="0"/>
          <w:szCs w:val="24"/>
        </w:rPr>
        <w:t>Phase</w:t>
      </w:r>
      <w:r w:rsidRPr="00FB7857">
        <w:rPr>
          <w:rFonts w:ascii="Cambria" w:eastAsia="新細明體" w:hAnsi="Cambria" w:cs="Times New Roman"/>
          <w:kern w:val="0"/>
          <w:szCs w:val="24"/>
        </w:rPr>
        <w:t xml:space="preserve"> </w:t>
      </w:r>
      <w:r w:rsidR="00CF5B03" w:rsidRPr="00FB7857">
        <w:rPr>
          <w:rFonts w:ascii="Cambria" w:eastAsia="新細明體" w:hAnsi="Cambria" w:cs="Times New Roman"/>
          <w:kern w:val="0"/>
          <w:szCs w:val="24"/>
        </w:rPr>
        <w:t>2</w:t>
      </w:r>
      <w:r w:rsidRPr="00FB7857">
        <w:rPr>
          <w:rFonts w:ascii="Cambria" w:eastAsia="新細明體" w:hAnsi="Cambria" w:cs="Times New Roman"/>
          <w:kern w:val="0"/>
          <w:szCs w:val="24"/>
        </w:rPr>
        <w:t xml:space="preserve">, the remaining funds shall be remitted within 45 days of review and approval by the Ministry, provided that sufficient documentation and relevant information is submitted by the deadline stated in </w:t>
      </w:r>
      <w:r w:rsidR="00477C89" w:rsidRPr="00FB7857">
        <w:rPr>
          <w:rFonts w:ascii="Cambria" w:eastAsia="新細明體" w:hAnsi="Cambria" w:cs="Times New Roman"/>
          <w:kern w:val="0"/>
          <w:szCs w:val="24"/>
        </w:rPr>
        <w:t>the follow</w:t>
      </w:r>
      <w:r w:rsidR="00974916" w:rsidRPr="00FB7857">
        <w:rPr>
          <w:rFonts w:ascii="Cambria" w:eastAsia="新細明體" w:hAnsi="Cambria" w:cs="Times New Roman"/>
          <w:kern w:val="0"/>
          <w:szCs w:val="24"/>
        </w:rPr>
        <w:t>ing</w:t>
      </w:r>
      <w:r w:rsidR="00477C89" w:rsidRPr="00FB7857">
        <w:rPr>
          <w:rFonts w:ascii="Cambria" w:eastAsia="新細明體" w:hAnsi="Cambria" w:cs="Times New Roman"/>
          <w:kern w:val="0"/>
          <w:szCs w:val="24"/>
        </w:rPr>
        <w:t xml:space="preserve"> paragraph</w:t>
      </w:r>
      <w:r w:rsidRPr="00FB7857">
        <w:rPr>
          <w:rFonts w:ascii="Cambria" w:eastAsia="新細明體" w:hAnsi="Cambria" w:cs="Times New Roman"/>
          <w:kern w:val="0"/>
          <w:szCs w:val="24"/>
        </w:rPr>
        <w:t>.</w:t>
      </w:r>
    </w:p>
    <w:p w:rsidR="00B11CF3" w:rsidRPr="00FB7857" w:rsidRDefault="00CF5B03" w:rsidP="00B11CF3">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Within one month of the project’s completion, or by Nov. 30 of t</w:t>
      </w:r>
      <w:r w:rsidR="007D611C">
        <w:rPr>
          <w:rFonts w:ascii="Cambria" w:eastAsia="新細明體" w:hAnsi="Cambria" w:cs="Times New Roman"/>
          <w:kern w:val="0"/>
          <w:szCs w:val="24"/>
        </w:rPr>
        <w:t>hat</w:t>
      </w:r>
      <w:r w:rsidR="00CB3350" w:rsidRPr="00FB7857">
        <w:rPr>
          <w:rFonts w:ascii="Cambria" w:eastAsia="新細明體" w:hAnsi="Cambria" w:cs="Times New Roman"/>
          <w:kern w:val="0"/>
          <w:szCs w:val="24"/>
        </w:rPr>
        <w:t xml:space="preserve"> </w:t>
      </w:r>
      <w:r w:rsidRPr="00FB7857">
        <w:rPr>
          <w:rFonts w:ascii="Cambria" w:eastAsia="新細明體" w:hAnsi="Cambria" w:cs="Times New Roman"/>
          <w:kern w:val="0"/>
          <w:szCs w:val="24"/>
        </w:rPr>
        <w:t xml:space="preserve">year,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s shall submit paper copies of receipts, lists of actual expenditures, original expenditure receipts (especially for travel expenses, such as receipts from travel agencies, airline ticket stubs, and other original travel-related receipts), as well as medical insurance receipts, signed payment slip for artist</w:t>
      </w:r>
      <w:r w:rsidR="007D611C">
        <w:rPr>
          <w:rFonts w:ascii="Cambria" w:eastAsia="新細明體" w:hAnsi="Cambria" w:cs="Times New Roman"/>
          <w:kern w:val="0"/>
          <w:szCs w:val="24"/>
        </w:rPr>
        <w:t>’s</w:t>
      </w:r>
      <w:r w:rsidRPr="00FB7857">
        <w:rPr>
          <w:rFonts w:ascii="Cambria" w:eastAsia="新細明體" w:hAnsi="Cambria" w:cs="Times New Roman"/>
          <w:kern w:val="0"/>
          <w:szCs w:val="24"/>
        </w:rPr>
        <w:t xml:space="preserve"> fee</w:t>
      </w:r>
      <w:r w:rsidR="007D611C">
        <w:rPr>
          <w:rFonts w:ascii="Cambria" w:eastAsia="新細明體" w:hAnsi="Cambria" w:cs="Times New Roman"/>
          <w:kern w:val="0"/>
          <w:szCs w:val="24"/>
        </w:rPr>
        <w:t>s</w:t>
      </w:r>
      <w:r w:rsidRPr="00FB7857">
        <w:rPr>
          <w:rFonts w:ascii="Cambria" w:eastAsia="新細明體" w:hAnsi="Cambria" w:cs="Times New Roman"/>
          <w:kern w:val="0"/>
          <w:szCs w:val="24"/>
        </w:rPr>
        <w:t>, and other related receipts; and an</w:t>
      </w:r>
      <w:r w:rsidRPr="00FB7857">
        <w:rPr>
          <w:rFonts w:ascii="Cambria" w:eastAsia="新細明體" w:hAnsi="Cambria" w:cs="Times New Roman"/>
          <w:color w:val="FF0000"/>
          <w:kern w:val="0"/>
          <w:szCs w:val="24"/>
        </w:rPr>
        <w:t xml:space="preserve"> </w:t>
      </w:r>
      <w:r w:rsidRPr="00FB7857">
        <w:rPr>
          <w:rFonts w:ascii="Cambria" w:eastAsia="新細明體" w:hAnsi="Cambria" w:cs="Times New Roman"/>
          <w:kern w:val="0"/>
          <w:szCs w:val="24"/>
        </w:rPr>
        <w:t xml:space="preserve">implementation report for the Ministry to review and approve. Where submission of the aforementioned documentation is late or incomplete, the Ministry will inform the recipient of the deadline for submitting required documentation that is still outstanding. Where recipients have failed to submit said documentation or have submitted insufficient documentation, the Ministry will cancel the recipient’s funding eligibility and declare the contract null and void. In such cases, </w:t>
      </w:r>
      <w:r w:rsidR="00E17899" w:rsidRPr="00FB7857">
        <w:rPr>
          <w:rFonts w:ascii="Cambria" w:eastAsia="新細明體" w:hAnsi="Cambria" w:cs="Times New Roman"/>
          <w:kern w:val="0"/>
          <w:szCs w:val="24"/>
        </w:rPr>
        <w:t xml:space="preserve">Phase 1 </w:t>
      </w:r>
      <w:r w:rsidRPr="00FB7857">
        <w:rPr>
          <w:rFonts w:ascii="Cambria" w:eastAsia="新細明體" w:hAnsi="Cambria" w:cs="Times New Roman"/>
          <w:kern w:val="0"/>
          <w:szCs w:val="24"/>
        </w:rPr>
        <w:t>funding already provided shall be remitted to the Ministry in full</w:t>
      </w:r>
      <w:r w:rsidR="00E17899" w:rsidRPr="00FB7857">
        <w:rPr>
          <w:rFonts w:ascii="Cambria" w:eastAsia="新細明體" w:hAnsi="Cambria" w:cs="Times New Roman"/>
          <w:kern w:val="0"/>
          <w:szCs w:val="24"/>
        </w:rPr>
        <w:t xml:space="preserve"> by a date set by the Ministry</w:t>
      </w:r>
      <w:r w:rsidRPr="00FB7857">
        <w:rPr>
          <w:rFonts w:ascii="Cambria" w:eastAsia="新細明體" w:hAnsi="Cambria" w:cs="Times New Roman"/>
          <w:kern w:val="0"/>
          <w:szCs w:val="24"/>
        </w:rPr>
        <w:t>.</w:t>
      </w:r>
    </w:p>
    <w:p w:rsidR="00E17899" w:rsidRPr="00FB7857" w:rsidRDefault="00E17899" w:rsidP="00B11CF3">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Funding received shall be used for items listed in the submitted budget, and dates appearing on original receipts submitted for review must fall within the approved period.</w:t>
      </w:r>
    </w:p>
    <w:p w:rsidR="00E17899" w:rsidRPr="00FB7857" w:rsidRDefault="00E54399" w:rsidP="00B11CF3">
      <w:pPr>
        <w:rPr>
          <w:rFonts w:ascii="Cambria" w:eastAsia="新細明體" w:hAnsi="Cambria" w:cs="Times New Roman"/>
          <w:b/>
          <w:kern w:val="0"/>
          <w:szCs w:val="24"/>
        </w:rPr>
      </w:pPr>
      <w:r>
        <w:rPr>
          <w:rFonts w:ascii="Cambria" w:eastAsia="新細明體" w:hAnsi="Cambria" w:cs="Times New Roman"/>
          <w:b/>
          <w:kern w:val="0"/>
          <w:szCs w:val="24"/>
        </w:rPr>
        <w:t xml:space="preserve">X. </w:t>
      </w:r>
      <w:r w:rsidR="00E17899" w:rsidRPr="00FB7857">
        <w:rPr>
          <w:rFonts w:ascii="Cambria" w:eastAsia="新細明體" w:hAnsi="Cambria" w:cs="Times New Roman"/>
          <w:b/>
          <w:kern w:val="0"/>
          <w:szCs w:val="24"/>
        </w:rPr>
        <w:t xml:space="preserve">Rights and </w:t>
      </w:r>
      <w:r>
        <w:rPr>
          <w:rFonts w:ascii="Cambria" w:eastAsia="新細明體" w:hAnsi="Cambria" w:cs="Times New Roman"/>
          <w:b/>
          <w:kern w:val="0"/>
          <w:szCs w:val="24"/>
        </w:rPr>
        <w:t>O</w:t>
      </w:r>
      <w:r w:rsidRPr="00FB7857">
        <w:rPr>
          <w:rFonts w:ascii="Cambria" w:eastAsia="新細明體" w:hAnsi="Cambria" w:cs="Times New Roman"/>
          <w:b/>
          <w:kern w:val="0"/>
          <w:szCs w:val="24"/>
        </w:rPr>
        <w:t>bligations</w:t>
      </w:r>
    </w:p>
    <w:p w:rsidR="00D30C55" w:rsidRPr="00FB7857" w:rsidRDefault="000F735E" w:rsidP="00D30C55">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Grant recipient</w:t>
      </w:r>
      <w:r w:rsidR="00D30C55" w:rsidRPr="00FB7857">
        <w:rPr>
          <w:rFonts w:ascii="Cambria" w:eastAsia="新細明體" w:hAnsi="Cambria" w:cs="Times New Roman"/>
          <w:kern w:val="0"/>
          <w:szCs w:val="24"/>
        </w:rPr>
        <w:t>s shall assist their collaboration nominees in obtaining the necessary ROC visa, and shall appropriately arrange and assist the collaboration nominee with exchanges, creation and lodging while in Taiwan.</w:t>
      </w:r>
    </w:p>
    <w:p w:rsidR="00D30C55" w:rsidRPr="00FB7857" w:rsidRDefault="00B9649C" w:rsidP="00D30C55">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lastRenderedPageBreak/>
        <w:t xml:space="preserve">The Ministry may ask that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 xml:space="preserve">s and collaboration nominees </w:t>
      </w:r>
      <w:r w:rsidR="009C3D7B" w:rsidRPr="00FB7857">
        <w:rPr>
          <w:rFonts w:ascii="Cambria" w:eastAsia="新細明體" w:hAnsi="Cambria" w:cs="Times New Roman"/>
          <w:kern w:val="0"/>
          <w:szCs w:val="24"/>
        </w:rPr>
        <w:t>comply with accepting</w:t>
      </w:r>
      <w:r w:rsidRPr="00FB7857">
        <w:rPr>
          <w:rFonts w:ascii="Cambria" w:eastAsia="新細明體" w:hAnsi="Cambria" w:cs="Times New Roman"/>
          <w:kern w:val="0"/>
          <w:szCs w:val="24"/>
        </w:rPr>
        <w:t xml:space="preserve"> media interviews</w:t>
      </w:r>
      <w:r w:rsidR="00E54399">
        <w:rPr>
          <w:rFonts w:ascii="Cambria" w:eastAsia="新細明體" w:hAnsi="Cambria" w:cs="Times New Roman"/>
          <w:kern w:val="0"/>
          <w:szCs w:val="24"/>
        </w:rPr>
        <w:t xml:space="preserve"> or</w:t>
      </w:r>
      <w:r w:rsidRPr="00FB7857">
        <w:rPr>
          <w:rFonts w:ascii="Cambria" w:eastAsia="新細明體" w:hAnsi="Cambria" w:cs="Times New Roman"/>
          <w:kern w:val="0"/>
          <w:szCs w:val="24"/>
        </w:rPr>
        <w:t xml:space="preserve"> attend</w:t>
      </w:r>
      <w:r w:rsidR="009C3D7B" w:rsidRPr="00FB7857">
        <w:rPr>
          <w:rFonts w:ascii="Cambria" w:eastAsia="新細明體" w:hAnsi="Cambria" w:cs="Times New Roman"/>
          <w:kern w:val="0"/>
          <w:szCs w:val="24"/>
        </w:rPr>
        <w:t>ing</w:t>
      </w:r>
      <w:r w:rsidRPr="00FB7857">
        <w:rPr>
          <w:rFonts w:ascii="Cambria" w:eastAsia="新細明體" w:hAnsi="Cambria" w:cs="Times New Roman"/>
          <w:kern w:val="0"/>
          <w:szCs w:val="24"/>
        </w:rPr>
        <w:t xml:space="preserve"> cultural events, and </w:t>
      </w:r>
      <w:r w:rsidR="009C3D7B" w:rsidRPr="00FB7857">
        <w:rPr>
          <w:rFonts w:ascii="Cambria" w:eastAsia="新細明體" w:hAnsi="Cambria" w:cs="Times New Roman"/>
          <w:kern w:val="0"/>
          <w:szCs w:val="24"/>
        </w:rPr>
        <w:t>comply with requests for introductory and promotional information about the philosophy and results of said project</w:t>
      </w:r>
      <w:r w:rsidRPr="00FB7857">
        <w:rPr>
          <w:rFonts w:ascii="Cambria" w:eastAsia="新細明體" w:hAnsi="Cambria" w:cs="Times New Roman"/>
          <w:kern w:val="0"/>
          <w:szCs w:val="24"/>
        </w:rPr>
        <w:t xml:space="preserve"> on the websites of the Ministry and its subordinate organizations as well as other broadcast </w:t>
      </w:r>
      <w:r w:rsidR="009C3D7B" w:rsidRPr="00FB7857">
        <w:rPr>
          <w:rFonts w:ascii="Cambria" w:eastAsia="新細明體" w:hAnsi="Cambria" w:cs="Times New Roman"/>
          <w:kern w:val="0"/>
          <w:szCs w:val="24"/>
        </w:rPr>
        <w:t xml:space="preserve">and marketing </w:t>
      </w:r>
      <w:r w:rsidRPr="00FB7857">
        <w:rPr>
          <w:rFonts w:ascii="Cambria" w:eastAsia="新細明體" w:hAnsi="Cambria" w:cs="Times New Roman"/>
          <w:kern w:val="0"/>
          <w:szCs w:val="24"/>
        </w:rPr>
        <w:t>channels</w:t>
      </w:r>
      <w:r w:rsidR="00FB3D5B" w:rsidRPr="00FB7857">
        <w:rPr>
          <w:rFonts w:ascii="Cambria" w:eastAsia="新細明體" w:hAnsi="Cambria" w:cs="Times New Roman"/>
          <w:kern w:val="0"/>
          <w:szCs w:val="24"/>
        </w:rPr>
        <w:t>.</w:t>
      </w:r>
    </w:p>
    <w:p w:rsidR="009C3D7B" w:rsidRPr="00FB7857" w:rsidRDefault="00E54399" w:rsidP="00D30C55">
      <w:pPr>
        <w:rPr>
          <w:rFonts w:ascii="Cambria" w:eastAsia="新細明體" w:hAnsi="Cambria" w:cs="Times New Roman"/>
          <w:b/>
          <w:kern w:val="0"/>
          <w:szCs w:val="24"/>
        </w:rPr>
      </w:pPr>
      <w:r>
        <w:rPr>
          <w:rFonts w:ascii="Cambria" w:eastAsia="新細明體" w:hAnsi="Cambria" w:cs="Times New Roman"/>
          <w:b/>
          <w:kern w:val="0"/>
          <w:szCs w:val="24"/>
        </w:rPr>
        <w:t>XI. Additional Guidelines and Responsibilities</w:t>
      </w:r>
    </w:p>
    <w:p w:rsidR="00FB3D5B" w:rsidRPr="00FB7857" w:rsidRDefault="00CA731A"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Applicants</w:t>
      </w:r>
      <w:r w:rsidR="008771CB" w:rsidRPr="00FB7857">
        <w:rPr>
          <w:rFonts w:ascii="Cambria" w:eastAsia="新細明體" w:hAnsi="Cambria" w:cs="Times New Roman"/>
          <w:kern w:val="0"/>
          <w:szCs w:val="24"/>
        </w:rPr>
        <w:t xml:space="preserve"> are to sign a contract with the Ministry within 15 days of </w:t>
      </w:r>
      <w:r w:rsidR="00E54399">
        <w:rPr>
          <w:rFonts w:ascii="Cambria" w:eastAsia="新細明體" w:hAnsi="Cambria" w:cs="Times New Roman"/>
          <w:kern w:val="0"/>
          <w:szCs w:val="24"/>
        </w:rPr>
        <w:t xml:space="preserve">the </w:t>
      </w:r>
      <w:r w:rsidR="008771CB" w:rsidRPr="00FB7857">
        <w:rPr>
          <w:rFonts w:ascii="Cambria" w:eastAsia="新細明體" w:hAnsi="Cambria" w:cs="Times New Roman"/>
          <w:kern w:val="0"/>
          <w:szCs w:val="24"/>
        </w:rPr>
        <w:t>Ministry</w:t>
      </w:r>
      <w:r w:rsidR="00E54399">
        <w:rPr>
          <w:rFonts w:ascii="Cambria" w:eastAsia="新細明體" w:hAnsi="Cambria" w:cs="Times New Roman"/>
          <w:kern w:val="0"/>
          <w:szCs w:val="24"/>
        </w:rPr>
        <w:t>’s</w:t>
      </w:r>
      <w:r w:rsidR="008771CB" w:rsidRPr="00FB7857">
        <w:rPr>
          <w:rFonts w:ascii="Cambria" w:eastAsia="新細明體" w:hAnsi="Cambria" w:cs="Times New Roman"/>
          <w:kern w:val="0"/>
          <w:szCs w:val="24"/>
        </w:rPr>
        <w:t xml:space="preserve"> notification of approval for funding. </w:t>
      </w:r>
      <w:r w:rsidRPr="00FB7857">
        <w:rPr>
          <w:rFonts w:ascii="Cambria" w:eastAsia="新細明體" w:hAnsi="Cambria" w:cs="Times New Roman"/>
          <w:kern w:val="0"/>
          <w:szCs w:val="24"/>
        </w:rPr>
        <w:t xml:space="preserve">The Ministry may cancel the eligibility to draw approved funds of any applicant who fails to sign a contract by the said deadline. </w:t>
      </w:r>
      <w:r w:rsidR="008771CB" w:rsidRPr="00FB7857">
        <w:rPr>
          <w:rFonts w:ascii="Cambria" w:eastAsia="新細明體" w:hAnsi="Cambria" w:cs="Times New Roman"/>
          <w:kern w:val="0"/>
          <w:szCs w:val="24"/>
        </w:rPr>
        <w:t xml:space="preserve">The contract shall be drawn up by the Ministry separate from these </w:t>
      </w:r>
      <w:r w:rsidR="00B51F1A" w:rsidRPr="00FB7857">
        <w:rPr>
          <w:rFonts w:ascii="Cambria" w:eastAsia="新細明體" w:hAnsi="Cambria" w:cs="Times New Roman"/>
          <w:kern w:val="0"/>
          <w:szCs w:val="24"/>
        </w:rPr>
        <w:t>Guidelines and Procedures</w:t>
      </w:r>
      <w:r w:rsidR="008771CB" w:rsidRPr="00FB7857">
        <w:rPr>
          <w:rFonts w:ascii="Cambria" w:eastAsia="新細明體" w:hAnsi="Cambria" w:cs="Times New Roman"/>
          <w:kern w:val="0"/>
          <w:szCs w:val="24"/>
        </w:rPr>
        <w:t>.</w:t>
      </w:r>
    </w:p>
    <w:p w:rsidR="008771CB" w:rsidRPr="00FB7857" w:rsidRDefault="000F735E"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Grant recipient</w:t>
      </w:r>
      <w:r w:rsidR="002776E9" w:rsidRPr="00FB7857">
        <w:rPr>
          <w:rFonts w:ascii="Cambria" w:eastAsia="新細明體" w:hAnsi="Cambria" w:cs="Times New Roman"/>
          <w:kern w:val="0"/>
          <w:szCs w:val="24"/>
        </w:rPr>
        <w:t xml:space="preserve">s should duly carry out the terms of the funding contract and </w:t>
      </w:r>
      <w:r w:rsidR="00CB3350" w:rsidRPr="00FB7857">
        <w:rPr>
          <w:rFonts w:ascii="Cambria" w:eastAsia="新細明體" w:hAnsi="Cambria" w:cs="Times New Roman"/>
          <w:kern w:val="0"/>
          <w:szCs w:val="24"/>
        </w:rPr>
        <w:t xml:space="preserve">funding </w:t>
      </w:r>
      <w:r w:rsidR="002776E9" w:rsidRPr="00FB7857">
        <w:rPr>
          <w:rFonts w:ascii="Cambria" w:eastAsia="新細明體" w:hAnsi="Cambria" w:cs="Times New Roman"/>
          <w:kern w:val="0"/>
          <w:szCs w:val="24"/>
        </w:rPr>
        <w:t xml:space="preserve">project approved by the Ministry. </w:t>
      </w:r>
      <w:r w:rsidR="00A75529" w:rsidRPr="00FB7857">
        <w:rPr>
          <w:rFonts w:ascii="Cambria" w:eastAsia="新細明體" w:hAnsi="Cambria" w:cs="Times New Roman"/>
          <w:kern w:val="0"/>
          <w:szCs w:val="24"/>
        </w:rPr>
        <w:t xml:space="preserve">Where </w:t>
      </w:r>
      <w:r w:rsidR="00E31AD0" w:rsidRPr="00FB7857">
        <w:rPr>
          <w:rFonts w:ascii="Cambria" w:eastAsia="新細明體" w:hAnsi="Cambria" w:cs="Times New Roman"/>
          <w:kern w:val="0"/>
          <w:szCs w:val="24"/>
        </w:rPr>
        <w:t>modifications</w:t>
      </w:r>
      <w:r w:rsidR="00A75529" w:rsidRPr="00FB7857">
        <w:rPr>
          <w:rFonts w:ascii="Cambria" w:eastAsia="新細明體" w:hAnsi="Cambria" w:cs="Times New Roman"/>
          <w:kern w:val="0"/>
          <w:szCs w:val="24"/>
        </w:rPr>
        <w:t xml:space="preserve"> </w:t>
      </w:r>
      <w:r w:rsidR="00E31AD0" w:rsidRPr="00FB7857">
        <w:rPr>
          <w:rFonts w:ascii="Cambria" w:eastAsia="新細明體" w:hAnsi="Cambria" w:cs="Times New Roman"/>
          <w:kern w:val="0"/>
          <w:szCs w:val="24"/>
        </w:rPr>
        <w:t>of</w:t>
      </w:r>
      <w:r w:rsidR="00DE627F" w:rsidRPr="00FB7857">
        <w:rPr>
          <w:rFonts w:ascii="Cambria" w:eastAsia="新細明體" w:hAnsi="Cambria" w:cs="Times New Roman"/>
          <w:kern w:val="0"/>
          <w:szCs w:val="24"/>
        </w:rPr>
        <w:t xml:space="preserve"> contract terms </w:t>
      </w:r>
      <w:r w:rsidR="00A75529" w:rsidRPr="00FB7857">
        <w:rPr>
          <w:rFonts w:ascii="Cambria" w:eastAsia="新細明體" w:hAnsi="Cambria" w:cs="Times New Roman"/>
          <w:kern w:val="0"/>
          <w:szCs w:val="24"/>
        </w:rPr>
        <w:t xml:space="preserve">are necessary </w:t>
      </w:r>
      <w:r w:rsidR="002776E9" w:rsidRPr="00FB7857">
        <w:rPr>
          <w:rFonts w:ascii="Cambria" w:eastAsia="新細明體" w:hAnsi="Cambria" w:cs="Times New Roman"/>
          <w:kern w:val="0"/>
          <w:szCs w:val="24"/>
        </w:rPr>
        <w:t xml:space="preserve">due to unavoidable circumstances or reasons for which the </w:t>
      </w:r>
      <w:r w:rsidRPr="00FB7857">
        <w:rPr>
          <w:rFonts w:ascii="Cambria" w:eastAsia="新細明體" w:hAnsi="Cambria" w:cs="Times New Roman"/>
          <w:kern w:val="0"/>
          <w:szCs w:val="24"/>
        </w:rPr>
        <w:t>grant recipient</w:t>
      </w:r>
      <w:r w:rsidR="002776E9" w:rsidRPr="00FB7857">
        <w:rPr>
          <w:rFonts w:ascii="Cambria" w:eastAsia="新細明體" w:hAnsi="Cambria" w:cs="Times New Roman"/>
          <w:kern w:val="0"/>
          <w:szCs w:val="24"/>
        </w:rPr>
        <w:t>s cannot be held responsible</w:t>
      </w:r>
      <w:r w:rsidR="00A75529" w:rsidRPr="00FB7857">
        <w:rPr>
          <w:rFonts w:ascii="Cambria" w:eastAsia="新細明體" w:hAnsi="Cambria" w:cs="Times New Roman"/>
          <w:kern w:val="0"/>
          <w:szCs w:val="24"/>
        </w:rPr>
        <w:t xml:space="preserve">, </w:t>
      </w:r>
      <w:r w:rsidRPr="00FB7857">
        <w:rPr>
          <w:rFonts w:ascii="Cambria" w:eastAsia="新細明體" w:hAnsi="Cambria" w:cs="Times New Roman"/>
          <w:kern w:val="0"/>
          <w:szCs w:val="24"/>
        </w:rPr>
        <w:t>grant recipient</w:t>
      </w:r>
      <w:r w:rsidR="00A75529" w:rsidRPr="00FB7857">
        <w:rPr>
          <w:rFonts w:ascii="Cambria" w:eastAsia="新細明體" w:hAnsi="Cambria" w:cs="Times New Roman"/>
          <w:kern w:val="0"/>
          <w:szCs w:val="24"/>
        </w:rPr>
        <w:t xml:space="preserve">s </w:t>
      </w:r>
      <w:r w:rsidR="002776E9" w:rsidRPr="00FB7857">
        <w:rPr>
          <w:rFonts w:ascii="Cambria" w:eastAsia="新細明體" w:hAnsi="Cambria" w:cs="Times New Roman"/>
          <w:kern w:val="0"/>
          <w:szCs w:val="24"/>
        </w:rPr>
        <w:t>shall provide written notification to the Ministry in advance of such circumstances or within 14 days following the discovery of such circumstances.</w:t>
      </w:r>
      <w:r w:rsidR="00A75529" w:rsidRPr="00FB7857">
        <w:rPr>
          <w:rFonts w:ascii="Cambria" w:eastAsia="新細明體" w:hAnsi="Cambria" w:cs="Times New Roman"/>
          <w:kern w:val="0"/>
          <w:szCs w:val="24"/>
        </w:rPr>
        <w:t xml:space="preserve"> </w:t>
      </w:r>
      <w:r w:rsidR="00E31AD0" w:rsidRPr="00FB7857">
        <w:rPr>
          <w:rFonts w:ascii="Cambria" w:eastAsia="新細明體" w:hAnsi="Cambria" w:cs="Times New Roman"/>
          <w:kern w:val="0"/>
          <w:szCs w:val="24"/>
        </w:rPr>
        <w:t>Modifications</w:t>
      </w:r>
      <w:r w:rsidR="002776E9" w:rsidRPr="00FB7857">
        <w:rPr>
          <w:rFonts w:ascii="Cambria" w:eastAsia="新細明體" w:hAnsi="Cambria" w:cs="Times New Roman"/>
          <w:kern w:val="0"/>
          <w:szCs w:val="24"/>
        </w:rPr>
        <w:t xml:space="preserve"> to the contract </w:t>
      </w:r>
      <w:r w:rsidR="00DE627F" w:rsidRPr="00FB7857">
        <w:rPr>
          <w:rFonts w:ascii="Cambria" w:eastAsia="新細明體" w:hAnsi="Cambria" w:cs="Times New Roman"/>
          <w:kern w:val="0"/>
          <w:szCs w:val="24"/>
        </w:rPr>
        <w:t xml:space="preserve">terms </w:t>
      </w:r>
      <w:r w:rsidR="002776E9" w:rsidRPr="00FB7857">
        <w:rPr>
          <w:rFonts w:ascii="Cambria" w:eastAsia="新細明體" w:hAnsi="Cambria" w:cs="Times New Roman"/>
          <w:kern w:val="0"/>
          <w:szCs w:val="24"/>
        </w:rPr>
        <w:t xml:space="preserve">shall be handled after </w:t>
      </w:r>
      <w:r w:rsidR="00E54399">
        <w:rPr>
          <w:rFonts w:ascii="Cambria" w:eastAsia="新細明體" w:hAnsi="Cambria" w:cs="Times New Roman"/>
          <w:kern w:val="0"/>
          <w:szCs w:val="24"/>
        </w:rPr>
        <w:t xml:space="preserve">the </w:t>
      </w:r>
      <w:r w:rsidR="002776E9" w:rsidRPr="00FB7857">
        <w:rPr>
          <w:rFonts w:ascii="Cambria" w:eastAsia="新細明體" w:hAnsi="Cambria" w:cs="Times New Roman"/>
          <w:kern w:val="0"/>
          <w:szCs w:val="24"/>
        </w:rPr>
        <w:t>Ministry</w:t>
      </w:r>
      <w:r w:rsidR="00E54399">
        <w:rPr>
          <w:rFonts w:ascii="Cambria" w:eastAsia="新細明體" w:hAnsi="Cambria" w:cs="Times New Roman"/>
          <w:kern w:val="0"/>
          <w:szCs w:val="24"/>
        </w:rPr>
        <w:t>’s</w:t>
      </w:r>
      <w:r w:rsidR="00A75529" w:rsidRPr="00FB7857">
        <w:rPr>
          <w:rFonts w:ascii="Cambria" w:eastAsia="新細明體" w:hAnsi="Cambria" w:cs="Times New Roman"/>
          <w:kern w:val="0"/>
          <w:szCs w:val="24"/>
        </w:rPr>
        <w:t xml:space="preserve"> approval</w:t>
      </w:r>
      <w:r w:rsidR="002776E9" w:rsidRPr="00FB7857">
        <w:rPr>
          <w:rFonts w:ascii="Cambria" w:eastAsia="新細明體" w:hAnsi="Cambria" w:cs="Times New Roman"/>
          <w:kern w:val="0"/>
          <w:szCs w:val="24"/>
        </w:rPr>
        <w:t xml:space="preserve"> through written agreement.</w:t>
      </w:r>
    </w:p>
    <w:p w:rsidR="00E31AD0" w:rsidRPr="00FB7857" w:rsidRDefault="00E31AD0"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If, for unavoidable reasons or for reasons for which applicants cannot be held responsible, all or a portion of the </w:t>
      </w:r>
      <w:r w:rsidR="00E54399">
        <w:rPr>
          <w:rFonts w:ascii="Cambria" w:eastAsia="新細明體" w:hAnsi="Cambria" w:cs="Times New Roman"/>
          <w:kern w:val="0"/>
          <w:szCs w:val="24"/>
        </w:rPr>
        <w:t xml:space="preserve">project </w:t>
      </w:r>
      <w:r w:rsidRPr="00FB7857">
        <w:rPr>
          <w:rFonts w:ascii="Cambria" w:eastAsia="新細明體" w:hAnsi="Cambria" w:cs="Times New Roman"/>
          <w:kern w:val="0"/>
          <w:szCs w:val="24"/>
        </w:rPr>
        <w:t xml:space="preserve">implementation is halted, the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 xml:space="preserve"> shall immediately notify the Ministry. </w:t>
      </w:r>
      <w:r w:rsidR="00C81678" w:rsidRPr="00FB7857">
        <w:rPr>
          <w:rFonts w:ascii="Cambria" w:eastAsia="新細明體" w:hAnsi="Cambria" w:cs="Times New Roman"/>
          <w:kern w:val="0"/>
          <w:szCs w:val="24"/>
        </w:rPr>
        <w:t>After Ministry</w:t>
      </w:r>
      <w:r w:rsidR="00CB3350" w:rsidRPr="00FB7857">
        <w:rPr>
          <w:rFonts w:ascii="Cambria" w:eastAsia="新細明體" w:hAnsi="Cambria" w:cs="Times New Roman"/>
          <w:kern w:val="0"/>
          <w:szCs w:val="24"/>
        </w:rPr>
        <w:t xml:space="preserve"> </w:t>
      </w:r>
      <w:r w:rsidR="00C81678" w:rsidRPr="00FB7857">
        <w:rPr>
          <w:rFonts w:ascii="Cambria" w:eastAsia="新細明體" w:hAnsi="Cambria" w:cs="Times New Roman"/>
          <w:kern w:val="0"/>
          <w:szCs w:val="24"/>
        </w:rPr>
        <w:t>approval,</w:t>
      </w:r>
      <w:r w:rsidR="004945A8" w:rsidRPr="00FB7857">
        <w:rPr>
          <w:rFonts w:ascii="Cambria" w:eastAsia="新細明體" w:hAnsi="Cambria" w:cs="Times New Roman"/>
          <w:kern w:val="0"/>
          <w:szCs w:val="24"/>
        </w:rPr>
        <w:t xml:space="preserve"> written notification of termination or cancellation of said contract shall be provided. </w:t>
      </w:r>
      <w:r w:rsidR="000F735E" w:rsidRPr="00FB7857">
        <w:rPr>
          <w:rFonts w:ascii="Cambria" w:eastAsia="新細明體" w:hAnsi="Cambria" w:cs="Times New Roman"/>
          <w:kern w:val="0"/>
          <w:szCs w:val="24"/>
        </w:rPr>
        <w:t>Grant recipient</w:t>
      </w:r>
      <w:r w:rsidR="004945A8" w:rsidRPr="00FB7857">
        <w:rPr>
          <w:rFonts w:ascii="Cambria" w:eastAsia="新細明體" w:hAnsi="Cambria" w:cs="Times New Roman"/>
          <w:kern w:val="0"/>
          <w:szCs w:val="24"/>
        </w:rPr>
        <w:t xml:space="preserve"> shall continue to provide the work or results report completed before termination of the contract. The Ministry shall do an accounting of costs based on contract standards for either remitting </w:t>
      </w:r>
      <w:r w:rsidR="00DB767F" w:rsidRPr="00FB7857">
        <w:rPr>
          <w:rFonts w:ascii="Cambria" w:eastAsia="新細明體" w:hAnsi="Cambria" w:cs="Times New Roman"/>
          <w:kern w:val="0"/>
          <w:szCs w:val="24"/>
        </w:rPr>
        <w:t xml:space="preserve">outstanding granted funds </w:t>
      </w:r>
      <w:r w:rsidR="004945A8" w:rsidRPr="00FB7857">
        <w:rPr>
          <w:rFonts w:ascii="Cambria" w:eastAsia="新細明體" w:hAnsi="Cambria" w:cs="Times New Roman"/>
          <w:kern w:val="0"/>
          <w:szCs w:val="24"/>
        </w:rPr>
        <w:t xml:space="preserve">or </w:t>
      </w:r>
      <w:r w:rsidR="00E54399">
        <w:rPr>
          <w:rFonts w:ascii="Cambria" w:eastAsia="新細明體" w:hAnsi="Cambria" w:cs="Times New Roman"/>
          <w:kern w:val="0"/>
          <w:szCs w:val="24"/>
        </w:rPr>
        <w:t>withdrawing</w:t>
      </w:r>
      <w:r w:rsidR="004945A8" w:rsidRPr="00FB7857">
        <w:rPr>
          <w:rFonts w:ascii="Cambria" w:eastAsia="新細明體" w:hAnsi="Cambria" w:cs="Times New Roman"/>
          <w:kern w:val="0"/>
          <w:szCs w:val="24"/>
        </w:rPr>
        <w:t xml:space="preserve"> excess granted funds.</w:t>
      </w:r>
    </w:p>
    <w:p w:rsidR="001800A5" w:rsidRPr="00FB7857" w:rsidRDefault="001800A5"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Funding shall be used toward its designated ends and may not be otherwise directed. Where expenditures necessitate individual income tax being levied,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s are to comply with the Income Tax Act and related regulations</w:t>
      </w:r>
      <w:r w:rsidR="004A2084" w:rsidRPr="00FB7857">
        <w:rPr>
          <w:rFonts w:ascii="Cambria" w:eastAsia="新細明體" w:hAnsi="Cambria" w:cs="Times New Roman"/>
          <w:kern w:val="0"/>
          <w:szCs w:val="24"/>
        </w:rPr>
        <w:t xml:space="preserve"> and personally </w:t>
      </w:r>
      <w:r w:rsidR="00E66B3D" w:rsidRPr="00FB7857">
        <w:rPr>
          <w:rFonts w:ascii="Cambria" w:eastAsia="新細明體" w:hAnsi="Cambria" w:cs="Times New Roman"/>
          <w:kern w:val="0"/>
          <w:szCs w:val="24"/>
        </w:rPr>
        <w:t>deal with</w:t>
      </w:r>
      <w:r w:rsidR="004A2084" w:rsidRPr="00FB7857">
        <w:rPr>
          <w:rFonts w:ascii="Cambria" w:eastAsia="新細明體" w:hAnsi="Cambria" w:cs="Times New Roman"/>
          <w:kern w:val="0"/>
          <w:szCs w:val="24"/>
        </w:rPr>
        <w:t xml:space="preserve"> Income Tax withholding matters</w:t>
      </w:r>
      <w:r w:rsidRPr="00FB7857">
        <w:rPr>
          <w:rFonts w:ascii="Cambria" w:eastAsia="新細明體" w:hAnsi="Cambria" w:cs="Times New Roman"/>
          <w:kern w:val="0"/>
          <w:szCs w:val="24"/>
        </w:rPr>
        <w:t>.</w:t>
      </w:r>
    </w:p>
    <w:p w:rsidR="001800A5" w:rsidRPr="00FB7857" w:rsidRDefault="00203E46"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Cases w</w:t>
      </w:r>
      <w:r w:rsidR="001800A5" w:rsidRPr="00FB7857">
        <w:rPr>
          <w:rFonts w:ascii="Cambria" w:eastAsia="新細明體" w:hAnsi="Cambria" w:cs="Times New Roman"/>
          <w:kern w:val="0"/>
          <w:szCs w:val="24"/>
        </w:rPr>
        <w:t xml:space="preserve">here </w:t>
      </w:r>
      <w:r w:rsidR="000F735E" w:rsidRPr="00FB7857">
        <w:rPr>
          <w:rFonts w:ascii="Cambria" w:eastAsia="新細明體" w:hAnsi="Cambria" w:cs="Times New Roman"/>
          <w:kern w:val="0"/>
          <w:szCs w:val="24"/>
        </w:rPr>
        <w:t>grant recipient</w:t>
      </w:r>
      <w:r w:rsidR="001800A5" w:rsidRPr="00FB7857">
        <w:rPr>
          <w:rFonts w:ascii="Cambria" w:eastAsia="新細明體" w:hAnsi="Cambria" w:cs="Times New Roman"/>
          <w:kern w:val="0"/>
          <w:szCs w:val="24"/>
        </w:rPr>
        <w:t>s do not submit results information as per regulations, where information submitted is insufficient, or where submi</w:t>
      </w:r>
      <w:r w:rsidRPr="00FB7857">
        <w:rPr>
          <w:rFonts w:ascii="Cambria" w:eastAsia="新細明體" w:hAnsi="Cambria" w:cs="Times New Roman"/>
          <w:kern w:val="0"/>
          <w:szCs w:val="24"/>
        </w:rPr>
        <w:t>ssion of information is delayed</w:t>
      </w:r>
      <w:r w:rsidR="00E54399">
        <w:rPr>
          <w:rFonts w:ascii="Cambria" w:eastAsia="新細明體" w:hAnsi="Cambria" w:cs="Times New Roman"/>
          <w:kern w:val="0"/>
          <w:szCs w:val="24"/>
        </w:rPr>
        <w:t>,</w:t>
      </w:r>
      <w:r w:rsidR="001800A5" w:rsidRPr="00FB7857">
        <w:rPr>
          <w:rFonts w:ascii="Cambria" w:eastAsia="新細明體" w:hAnsi="Cambria" w:cs="Times New Roman"/>
          <w:kern w:val="0"/>
          <w:szCs w:val="24"/>
        </w:rPr>
        <w:t xml:space="preserve"> will be dealt with in accordance </w:t>
      </w:r>
      <w:r w:rsidR="001800A5" w:rsidRPr="00FB7857">
        <w:rPr>
          <w:rFonts w:ascii="Cambria" w:eastAsia="新細明體" w:hAnsi="Cambria" w:cs="Times New Roman"/>
          <w:kern w:val="0"/>
          <w:szCs w:val="24"/>
        </w:rPr>
        <w:lastRenderedPageBreak/>
        <w:t xml:space="preserve">with these </w:t>
      </w:r>
      <w:r w:rsidR="00B51F1A" w:rsidRPr="00FB7857">
        <w:rPr>
          <w:rFonts w:ascii="Cambria" w:eastAsia="新細明體" w:hAnsi="Cambria" w:cs="Times New Roman"/>
          <w:kern w:val="0"/>
          <w:szCs w:val="24"/>
        </w:rPr>
        <w:t>Guidelines and Procedures</w:t>
      </w:r>
      <w:r w:rsidR="001800A5" w:rsidRPr="00FB7857">
        <w:rPr>
          <w:rFonts w:ascii="Cambria" w:eastAsia="新細明體" w:hAnsi="Cambria" w:cs="Times New Roman"/>
          <w:kern w:val="0"/>
          <w:szCs w:val="24"/>
        </w:rPr>
        <w:t xml:space="preserve"> and the terms of the funding contract. The Ministry will take </w:t>
      </w:r>
      <w:r w:rsidR="006E3148" w:rsidRPr="00FB7857">
        <w:rPr>
          <w:rFonts w:ascii="Cambria" w:eastAsia="新細明體" w:hAnsi="Cambria" w:cs="Times New Roman"/>
          <w:kern w:val="0"/>
          <w:szCs w:val="24"/>
        </w:rPr>
        <w:t xml:space="preserve">note of </w:t>
      </w:r>
      <w:r w:rsidR="001800A5" w:rsidRPr="00FB7857">
        <w:rPr>
          <w:rFonts w:ascii="Cambria" w:eastAsia="新細明體" w:hAnsi="Cambria" w:cs="Times New Roman"/>
          <w:kern w:val="0"/>
          <w:szCs w:val="24"/>
        </w:rPr>
        <w:t xml:space="preserve">this during </w:t>
      </w:r>
      <w:r w:rsidR="006E3148" w:rsidRPr="00FB7857">
        <w:rPr>
          <w:rFonts w:ascii="Cambria" w:eastAsia="新細明體" w:hAnsi="Cambria" w:cs="Times New Roman"/>
          <w:kern w:val="0"/>
          <w:szCs w:val="24"/>
        </w:rPr>
        <w:t xml:space="preserve">any </w:t>
      </w:r>
      <w:r w:rsidR="001800A5" w:rsidRPr="00FB7857">
        <w:rPr>
          <w:rFonts w:ascii="Cambria" w:eastAsia="新細明體" w:hAnsi="Cambria" w:cs="Times New Roman"/>
          <w:kern w:val="0"/>
          <w:szCs w:val="24"/>
        </w:rPr>
        <w:t>future funding reviews.</w:t>
      </w:r>
    </w:p>
    <w:p w:rsidR="001800A5" w:rsidRPr="00FB7857" w:rsidRDefault="007C77EB"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Based on the principle of avoiding redundant funding, w</w:t>
      </w:r>
      <w:r w:rsidR="001800A5" w:rsidRPr="00FB7857">
        <w:rPr>
          <w:rFonts w:ascii="Cambria" w:eastAsia="新細明體" w:hAnsi="Cambria" w:cs="Times New Roman"/>
          <w:kern w:val="0"/>
          <w:szCs w:val="24"/>
        </w:rPr>
        <w:t xml:space="preserve">hen the same project, or a similar one, has already received </w:t>
      </w:r>
      <w:r w:rsidRPr="00FB7857">
        <w:rPr>
          <w:rFonts w:ascii="Cambria" w:eastAsia="新細明體" w:hAnsi="Cambria" w:cs="Times New Roman"/>
          <w:kern w:val="0"/>
          <w:szCs w:val="24"/>
        </w:rPr>
        <w:t xml:space="preserve">other </w:t>
      </w:r>
      <w:r w:rsidR="001800A5" w:rsidRPr="00FB7857">
        <w:rPr>
          <w:rFonts w:ascii="Cambria" w:eastAsia="新細明體" w:hAnsi="Cambria" w:cs="Times New Roman"/>
          <w:kern w:val="0"/>
          <w:szCs w:val="24"/>
        </w:rPr>
        <w:t xml:space="preserve">funding from </w:t>
      </w:r>
      <w:r w:rsidRPr="00FB7857">
        <w:rPr>
          <w:rFonts w:ascii="Cambria" w:eastAsia="新細明體" w:hAnsi="Cambria" w:cs="Times New Roman"/>
          <w:kern w:val="0"/>
          <w:szCs w:val="24"/>
        </w:rPr>
        <w:t xml:space="preserve">the Ministry, from any of the Ministry’s subordinate organizations, from </w:t>
      </w:r>
      <w:r w:rsidR="001800A5" w:rsidRPr="00FB7857">
        <w:rPr>
          <w:rFonts w:ascii="Cambria" w:eastAsia="新細明體" w:hAnsi="Cambria" w:cs="Times New Roman"/>
          <w:kern w:val="0"/>
          <w:szCs w:val="24"/>
        </w:rPr>
        <w:t xml:space="preserve">the National Culture and Arts Foundation, </w:t>
      </w:r>
      <w:r w:rsidRPr="00FB7857">
        <w:rPr>
          <w:rFonts w:ascii="Cambria" w:eastAsia="新細明體" w:hAnsi="Cambria" w:cs="Times New Roman"/>
          <w:kern w:val="0"/>
          <w:szCs w:val="24"/>
        </w:rPr>
        <w:t xml:space="preserve">or from </w:t>
      </w:r>
      <w:r w:rsidR="001800A5" w:rsidRPr="00FB7857">
        <w:rPr>
          <w:rFonts w:ascii="Cambria" w:eastAsia="新細明體" w:hAnsi="Cambria" w:cs="Times New Roman"/>
          <w:kern w:val="0"/>
          <w:szCs w:val="24"/>
        </w:rPr>
        <w:t xml:space="preserve">the National </w:t>
      </w:r>
      <w:r w:rsidR="00433CF7" w:rsidRPr="00FB7857">
        <w:rPr>
          <w:rFonts w:ascii="Cambria" w:eastAsia="新細明體" w:hAnsi="Cambria" w:cs="Times New Roman"/>
          <w:kern w:val="0"/>
          <w:szCs w:val="24"/>
        </w:rPr>
        <w:t xml:space="preserve">Performing Arts </w:t>
      </w:r>
      <w:r w:rsidR="001800A5" w:rsidRPr="00FB7857">
        <w:rPr>
          <w:rFonts w:ascii="Cambria" w:eastAsia="新細明體" w:hAnsi="Cambria" w:cs="Times New Roman"/>
          <w:kern w:val="0"/>
          <w:szCs w:val="24"/>
        </w:rPr>
        <w:t xml:space="preserve">Center, the project will not be eligible for funding under these </w:t>
      </w:r>
      <w:r w:rsidR="00B51F1A" w:rsidRPr="00FB7857">
        <w:rPr>
          <w:rFonts w:ascii="Cambria" w:eastAsia="新細明體" w:hAnsi="Cambria" w:cs="Times New Roman"/>
          <w:kern w:val="0"/>
          <w:szCs w:val="24"/>
        </w:rPr>
        <w:t>Guidelines and Procedures</w:t>
      </w:r>
      <w:r w:rsidR="001800A5" w:rsidRPr="00FB7857">
        <w:rPr>
          <w:rFonts w:ascii="Cambria" w:eastAsia="新細明體" w:hAnsi="Cambria" w:cs="Times New Roman"/>
          <w:kern w:val="0"/>
          <w:szCs w:val="24"/>
        </w:rPr>
        <w:t xml:space="preserve">. Where such projects have been submitted, they will not be </w:t>
      </w:r>
      <w:r w:rsidRPr="00FB7857">
        <w:rPr>
          <w:rFonts w:ascii="Cambria" w:eastAsia="新細明體" w:hAnsi="Cambria" w:cs="Times New Roman"/>
          <w:kern w:val="0"/>
          <w:szCs w:val="24"/>
        </w:rPr>
        <w:t>accepted</w:t>
      </w:r>
      <w:r w:rsidR="001800A5" w:rsidRPr="00FB7857">
        <w:rPr>
          <w:rFonts w:ascii="Cambria" w:eastAsia="新細明體" w:hAnsi="Cambria" w:cs="Times New Roman"/>
          <w:kern w:val="0"/>
          <w:szCs w:val="24"/>
        </w:rPr>
        <w:t xml:space="preserve"> by the Ministry.</w:t>
      </w:r>
    </w:p>
    <w:p w:rsidR="001800A5" w:rsidRPr="00FB7857" w:rsidRDefault="001837B7"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Applications </w:t>
      </w:r>
      <w:r w:rsidR="00E54399">
        <w:rPr>
          <w:rFonts w:ascii="Cambria" w:eastAsia="新細明體" w:hAnsi="Cambria" w:cs="Times New Roman"/>
          <w:kern w:val="0"/>
          <w:szCs w:val="24"/>
        </w:rPr>
        <w:t xml:space="preserve">will not be processed for applicants who have previously been selected for funding by the Ministry and, having been found in severe breach of contract provisions, failed to fulfill their contractual obligations. </w:t>
      </w:r>
    </w:p>
    <w:p w:rsidR="00B63C31" w:rsidRPr="00FB7857" w:rsidRDefault="00B63C31"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Applicants are not limited to seeking </w:t>
      </w:r>
      <w:r w:rsidR="00231844" w:rsidRPr="00FB7857">
        <w:rPr>
          <w:rFonts w:ascii="Cambria" w:eastAsia="新細明體" w:hAnsi="Cambria" w:cs="Times New Roman"/>
          <w:kern w:val="0"/>
          <w:szCs w:val="24"/>
        </w:rPr>
        <w:t>a grant</w:t>
      </w:r>
      <w:r w:rsidRPr="00FB7857">
        <w:rPr>
          <w:rFonts w:ascii="Cambria" w:eastAsia="新細明體" w:hAnsi="Cambria" w:cs="Times New Roman"/>
          <w:kern w:val="0"/>
          <w:szCs w:val="24"/>
        </w:rPr>
        <w:t xml:space="preserve"> for only one </w:t>
      </w:r>
      <w:r w:rsidR="00D41B8B" w:rsidRPr="00FB7857">
        <w:rPr>
          <w:rFonts w:ascii="Cambria" w:eastAsia="新細明體" w:hAnsi="Cambria" w:cs="Times New Roman"/>
          <w:kern w:val="0"/>
          <w:szCs w:val="24"/>
        </w:rPr>
        <w:t xml:space="preserve">(1) </w:t>
      </w:r>
      <w:r w:rsidRPr="00FB7857">
        <w:rPr>
          <w:rFonts w:ascii="Cambria" w:eastAsia="新細明體" w:hAnsi="Cambria" w:cs="Times New Roman"/>
          <w:kern w:val="0"/>
          <w:szCs w:val="24"/>
        </w:rPr>
        <w:t xml:space="preserve">project per </w:t>
      </w:r>
      <w:r w:rsidR="00231844" w:rsidRPr="00FB7857">
        <w:rPr>
          <w:rFonts w:ascii="Cambria" w:eastAsia="新細明體" w:hAnsi="Cambria" w:cs="Times New Roman"/>
          <w:kern w:val="0"/>
          <w:szCs w:val="24"/>
        </w:rPr>
        <w:t>grant</w:t>
      </w:r>
      <w:r w:rsidRPr="00FB7857">
        <w:rPr>
          <w:rFonts w:ascii="Cambria" w:eastAsia="新細明體" w:hAnsi="Cambria" w:cs="Times New Roman"/>
          <w:kern w:val="0"/>
          <w:szCs w:val="24"/>
        </w:rPr>
        <w:t xml:space="preserve"> year. </w:t>
      </w:r>
      <w:r w:rsidR="00D41B8B" w:rsidRPr="00FB7857">
        <w:rPr>
          <w:rFonts w:ascii="Cambria" w:eastAsia="新細明體" w:hAnsi="Cambria" w:cs="Times New Roman"/>
          <w:kern w:val="0"/>
          <w:szCs w:val="24"/>
        </w:rPr>
        <w:t>However, e</w:t>
      </w:r>
      <w:r w:rsidRPr="00FB7857">
        <w:rPr>
          <w:rFonts w:ascii="Cambria" w:eastAsia="新細明體" w:hAnsi="Cambria" w:cs="Times New Roman"/>
          <w:kern w:val="0"/>
          <w:szCs w:val="24"/>
        </w:rPr>
        <w:t xml:space="preserve">ach applicant may receive </w:t>
      </w:r>
      <w:r w:rsidR="00231844" w:rsidRPr="00FB7857">
        <w:rPr>
          <w:rFonts w:ascii="Cambria" w:eastAsia="新細明體" w:hAnsi="Cambria" w:cs="Times New Roman"/>
          <w:kern w:val="0"/>
          <w:szCs w:val="24"/>
        </w:rPr>
        <w:t>a grant</w:t>
      </w:r>
      <w:r w:rsidRPr="00FB7857">
        <w:rPr>
          <w:rFonts w:ascii="Cambria" w:eastAsia="新細明體" w:hAnsi="Cambria" w:cs="Times New Roman"/>
          <w:kern w:val="0"/>
          <w:szCs w:val="24"/>
        </w:rPr>
        <w:t xml:space="preserve"> for </w:t>
      </w:r>
      <w:r w:rsidR="00D41B8B" w:rsidRPr="00FB7857">
        <w:rPr>
          <w:rFonts w:ascii="Cambria" w:eastAsia="新細明體" w:hAnsi="Cambria" w:cs="Times New Roman"/>
          <w:kern w:val="0"/>
          <w:szCs w:val="24"/>
        </w:rPr>
        <w:t>no more than</w:t>
      </w:r>
      <w:r w:rsidRPr="00FB7857">
        <w:rPr>
          <w:rFonts w:ascii="Cambria" w:eastAsia="新細明體" w:hAnsi="Cambria" w:cs="Times New Roman"/>
          <w:kern w:val="0"/>
          <w:szCs w:val="24"/>
        </w:rPr>
        <w:t xml:space="preserve"> three </w:t>
      </w:r>
      <w:r w:rsidR="00D41B8B" w:rsidRPr="00FB7857">
        <w:rPr>
          <w:rFonts w:ascii="Cambria" w:eastAsia="新細明體" w:hAnsi="Cambria" w:cs="Times New Roman"/>
          <w:kern w:val="0"/>
          <w:szCs w:val="24"/>
        </w:rPr>
        <w:t xml:space="preserve">(3) </w:t>
      </w:r>
      <w:r w:rsidRPr="00FB7857">
        <w:rPr>
          <w:rFonts w:ascii="Cambria" w:eastAsia="新細明體" w:hAnsi="Cambria" w:cs="Times New Roman"/>
          <w:kern w:val="0"/>
          <w:szCs w:val="24"/>
        </w:rPr>
        <w:t>projects in a single year.</w:t>
      </w:r>
    </w:p>
    <w:p w:rsidR="00B63C31" w:rsidRPr="00FB7857" w:rsidRDefault="00361751"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Continued l</w:t>
      </w:r>
      <w:r w:rsidR="00C03636" w:rsidRPr="00FB7857">
        <w:rPr>
          <w:rFonts w:ascii="Cambria" w:eastAsia="新細明體" w:hAnsi="Cambria" w:cs="Times New Roman"/>
          <w:kern w:val="0"/>
          <w:szCs w:val="24"/>
        </w:rPr>
        <w:t>isting of</w:t>
      </w:r>
      <w:r w:rsidR="00D516EA" w:rsidRPr="00FB7857">
        <w:rPr>
          <w:rFonts w:ascii="Cambria" w:eastAsia="新細明體" w:hAnsi="Cambria" w:cs="Times New Roman"/>
          <w:kern w:val="0"/>
          <w:szCs w:val="24"/>
        </w:rPr>
        <w:t xml:space="preserve"> t</w:t>
      </w:r>
      <w:r w:rsidR="00B63C31" w:rsidRPr="00FB7857">
        <w:rPr>
          <w:rFonts w:ascii="Cambria" w:eastAsia="新細明體" w:hAnsi="Cambria" w:cs="Times New Roman"/>
          <w:kern w:val="0"/>
          <w:szCs w:val="24"/>
        </w:rPr>
        <w:t xml:space="preserve">he same </w:t>
      </w:r>
      <w:r w:rsidR="00D516EA" w:rsidRPr="00FB7857">
        <w:rPr>
          <w:rFonts w:ascii="Cambria" w:eastAsia="新細明體" w:hAnsi="Cambria" w:cs="Times New Roman"/>
          <w:kern w:val="0"/>
          <w:szCs w:val="24"/>
        </w:rPr>
        <w:t>collaboration nominee from Latin America</w:t>
      </w:r>
      <w:r w:rsidR="00B63C31" w:rsidRPr="00FB7857">
        <w:rPr>
          <w:rFonts w:ascii="Cambria" w:eastAsia="新細明體" w:hAnsi="Cambria" w:cs="Times New Roman"/>
          <w:kern w:val="0"/>
          <w:szCs w:val="24"/>
        </w:rPr>
        <w:t xml:space="preserve"> who has been </w:t>
      </w:r>
      <w:r w:rsidR="00C62148" w:rsidRPr="00FB7857">
        <w:rPr>
          <w:rFonts w:ascii="Cambria" w:eastAsia="新細明體" w:hAnsi="Cambria" w:cs="Times New Roman"/>
          <w:kern w:val="0"/>
          <w:szCs w:val="24"/>
        </w:rPr>
        <w:t>granted funds</w:t>
      </w:r>
      <w:r w:rsidR="00B63C31" w:rsidRPr="00FB7857">
        <w:rPr>
          <w:rFonts w:ascii="Cambria" w:eastAsia="新細明體" w:hAnsi="Cambria" w:cs="Times New Roman"/>
          <w:kern w:val="0"/>
          <w:szCs w:val="24"/>
        </w:rPr>
        <w:t xml:space="preserve"> by th</w:t>
      </w:r>
      <w:r w:rsidR="00433CF7" w:rsidRPr="00FB7857">
        <w:rPr>
          <w:rFonts w:ascii="Cambria" w:eastAsia="新細明體" w:hAnsi="Cambria" w:cs="Times New Roman"/>
          <w:kern w:val="0"/>
          <w:szCs w:val="24"/>
        </w:rPr>
        <w:t>e</w:t>
      </w:r>
      <w:r w:rsidR="00B63C31" w:rsidRPr="00FB7857">
        <w:rPr>
          <w:rFonts w:ascii="Cambria" w:eastAsia="新細明體" w:hAnsi="Cambria" w:cs="Times New Roman"/>
          <w:kern w:val="0"/>
          <w:szCs w:val="24"/>
        </w:rPr>
        <w:t xml:space="preserve"> </w:t>
      </w:r>
      <w:r w:rsidR="00D516EA" w:rsidRPr="00FB7857">
        <w:rPr>
          <w:rFonts w:ascii="Cambria" w:eastAsia="新細明體" w:hAnsi="Cambria" w:cs="Times New Roman"/>
          <w:kern w:val="0"/>
          <w:szCs w:val="24"/>
        </w:rPr>
        <w:t>Ministry</w:t>
      </w:r>
      <w:r w:rsidR="00B63C31" w:rsidRPr="00FB7857">
        <w:rPr>
          <w:rFonts w:ascii="Cambria" w:eastAsia="新細明體" w:hAnsi="Cambria" w:cs="Times New Roman"/>
          <w:kern w:val="0"/>
          <w:szCs w:val="24"/>
        </w:rPr>
        <w:t xml:space="preserve"> for two consecutive years (whether through the same or </w:t>
      </w:r>
      <w:r w:rsidR="00D516EA" w:rsidRPr="00FB7857">
        <w:rPr>
          <w:rFonts w:ascii="Cambria" w:eastAsia="新細明體" w:hAnsi="Cambria" w:cs="Times New Roman"/>
          <w:kern w:val="0"/>
          <w:szCs w:val="24"/>
        </w:rPr>
        <w:t xml:space="preserve">a </w:t>
      </w:r>
      <w:r w:rsidR="00B63C31" w:rsidRPr="00FB7857">
        <w:rPr>
          <w:rFonts w:ascii="Cambria" w:eastAsia="新細明體" w:hAnsi="Cambria" w:cs="Times New Roman"/>
          <w:kern w:val="0"/>
          <w:szCs w:val="24"/>
        </w:rPr>
        <w:t xml:space="preserve">different </w:t>
      </w:r>
      <w:r w:rsidR="00D516EA" w:rsidRPr="00FB7857">
        <w:rPr>
          <w:rFonts w:ascii="Cambria" w:eastAsia="新細明體" w:hAnsi="Cambria" w:cs="Times New Roman"/>
          <w:kern w:val="0"/>
          <w:szCs w:val="24"/>
        </w:rPr>
        <w:t xml:space="preserve">project </w:t>
      </w:r>
      <w:r w:rsidR="00B63C31" w:rsidRPr="00FB7857">
        <w:rPr>
          <w:rFonts w:ascii="Cambria" w:eastAsia="新細明體" w:hAnsi="Cambria" w:cs="Times New Roman"/>
          <w:kern w:val="0"/>
          <w:szCs w:val="24"/>
        </w:rPr>
        <w:t xml:space="preserve">application) </w:t>
      </w:r>
      <w:r w:rsidR="00C03636" w:rsidRPr="00FB7857">
        <w:rPr>
          <w:rFonts w:ascii="Cambria" w:eastAsia="新細明體" w:hAnsi="Cambria" w:cs="Times New Roman"/>
          <w:kern w:val="0"/>
          <w:szCs w:val="24"/>
        </w:rPr>
        <w:t xml:space="preserve">as </w:t>
      </w:r>
      <w:r w:rsidR="00D516EA" w:rsidRPr="00FB7857">
        <w:rPr>
          <w:rFonts w:ascii="Cambria" w:eastAsia="新細明體" w:hAnsi="Cambria" w:cs="Times New Roman"/>
          <w:kern w:val="0"/>
          <w:szCs w:val="24"/>
        </w:rPr>
        <w:t xml:space="preserve">a collaboration nominee for a third year in a </w:t>
      </w:r>
      <w:r w:rsidR="00C62148" w:rsidRPr="00FB7857">
        <w:rPr>
          <w:rFonts w:ascii="Cambria" w:eastAsia="新細明體" w:hAnsi="Cambria" w:cs="Times New Roman"/>
          <w:kern w:val="0"/>
          <w:szCs w:val="24"/>
        </w:rPr>
        <w:t>grant</w:t>
      </w:r>
      <w:r w:rsidR="00D516EA" w:rsidRPr="00FB7857">
        <w:rPr>
          <w:rFonts w:ascii="Cambria" w:eastAsia="新細明體" w:hAnsi="Cambria" w:cs="Times New Roman"/>
          <w:kern w:val="0"/>
          <w:szCs w:val="24"/>
        </w:rPr>
        <w:t xml:space="preserve"> application</w:t>
      </w:r>
      <w:r w:rsidR="00C03636" w:rsidRPr="00FB7857">
        <w:rPr>
          <w:rFonts w:ascii="Cambria" w:eastAsia="新細明體" w:hAnsi="Cambria" w:cs="Times New Roman"/>
          <w:kern w:val="0"/>
          <w:szCs w:val="24"/>
        </w:rPr>
        <w:t xml:space="preserve"> </w:t>
      </w:r>
      <w:r w:rsidR="00B63C31" w:rsidRPr="00FB7857">
        <w:rPr>
          <w:rFonts w:ascii="Cambria" w:eastAsia="新細明體" w:hAnsi="Cambria" w:cs="Times New Roman"/>
          <w:kern w:val="0"/>
          <w:szCs w:val="24"/>
        </w:rPr>
        <w:t xml:space="preserve">will not </w:t>
      </w:r>
      <w:r w:rsidR="00C03636" w:rsidRPr="00FB7857">
        <w:rPr>
          <w:rFonts w:ascii="Cambria" w:eastAsia="新細明體" w:hAnsi="Cambria" w:cs="Times New Roman"/>
          <w:kern w:val="0"/>
          <w:szCs w:val="24"/>
        </w:rPr>
        <w:t>be accepted</w:t>
      </w:r>
      <w:r w:rsidR="00B63C31" w:rsidRPr="00FB7857">
        <w:rPr>
          <w:rFonts w:ascii="Cambria" w:eastAsia="新細明體" w:hAnsi="Cambria" w:cs="Times New Roman"/>
          <w:kern w:val="0"/>
          <w:szCs w:val="24"/>
        </w:rPr>
        <w:t>.</w:t>
      </w:r>
    </w:p>
    <w:p w:rsidR="00B63C31" w:rsidRPr="00FB7857" w:rsidRDefault="00B63C31"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Where </w:t>
      </w:r>
      <w:r w:rsidR="000F735E" w:rsidRPr="00FB7857">
        <w:rPr>
          <w:rFonts w:ascii="Cambria" w:eastAsia="新細明體" w:hAnsi="Cambria" w:cs="Times New Roman"/>
          <w:kern w:val="0"/>
          <w:szCs w:val="24"/>
        </w:rPr>
        <w:t>grant recipient</w:t>
      </w:r>
      <w:r w:rsidR="006B4AD5" w:rsidRPr="00FB7857">
        <w:rPr>
          <w:rFonts w:ascii="Cambria" w:eastAsia="新細明體" w:hAnsi="Cambria" w:cs="Times New Roman"/>
          <w:kern w:val="0"/>
          <w:szCs w:val="24"/>
        </w:rPr>
        <w:t>s</w:t>
      </w:r>
      <w:r w:rsidRPr="00FB7857">
        <w:rPr>
          <w:rFonts w:ascii="Cambria" w:eastAsia="新細明體" w:hAnsi="Cambria" w:cs="Times New Roman"/>
          <w:kern w:val="0"/>
          <w:szCs w:val="24"/>
        </w:rPr>
        <w:t xml:space="preserve"> are compelled to withdraw from the </w:t>
      </w:r>
      <w:r w:rsidR="006B4AD5" w:rsidRPr="00FB7857">
        <w:rPr>
          <w:rFonts w:ascii="Cambria" w:eastAsia="新細明體" w:hAnsi="Cambria" w:cs="Times New Roman"/>
          <w:kern w:val="0"/>
          <w:szCs w:val="24"/>
        </w:rPr>
        <w:t>project</w:t>
      </w:r>
      <w:r w:rsidRPr="00FB7857">
        <w:rPr>
          <w:rFonts w:ascii="Cambria" w:eastAsia="新細明體" w:hAnsi="Cambria" w:cs="Times New Roman"/>
          <w:kern w:val="0"/>
          <w:szCs w:val="24"/>
        </w:rPr>
        <w:t xml:space="preserve"> or be absent </w:t>
      </w:r>
      <w:r w:rsidR="006B4AD5" w:rsidRPr="00FB7857">
        <w:rPr>
          <w:rFonts w:ascii="Cambria" w:eastAsia="新細明體" w:hAnsi="Cambria" w:cs="Times New Roman"/>
          <w:kern w:val="0"/>
          <w:szCs w:val="24"/>
        </w:rPr>
        <w:t xml:space="preserve">from their place of residence during the project </w:t>
      </w:r>
      <w:r w:rsidRPr="00FB7857">
        <w:rPr>
          <w:rFonts w:ascii="Cambria" w:eastAsia="新細明體" w:hAnsi="Cambria" w:cs="Times New Roman"/>
          <w:kern w:val="0"/>
          <w:szCs w:val="24"/>
        </w:rPr>
        <w:t xml:space="preserve">for a period of seven </w:t>
      </w:r>
      <w:r w:rsidR="006B4AD5" w:rsidRPr="00FB7857">
        <w:rPr>
          <w:rFonts w:ascii="Cambria" w:eastAsia="新細明體" w:hAnsi="Cambria" w:cs="Times New Roman"/>
          <w:kern w:val="0"/>
          <w:szCs w:val="24"/>
        </w:rPr>
        <w:t xml:space="preserve">(7) </w:t>
      </w:r>
      <w:r w:rsidRPr="00FB7857">
        <w:rPr>
          <w:rFonts w:ascii="Cambria" w:eastAsia="新細明體" w:hAnsi="Cambria" w:cs="Times New Roman"/>
          <w:kern w:val="0"/>
          <w:szCs w:val="24"/>
        </w:rPr>
        <w:t>days or longer</w:t>
      </w:r>
      <w:r w:rsidR="006B4AD5" w:rsidRPr="00FB7857">
        <w:rPr>
          <w:rFonts w:ascii="Cambria" w:eastAsia="新細明體" w:hAnsi="Cambria" w:cs="Times New Roman"/>
          <w:kern w:val="0"/>
          <w:szCs w:val="24"/>
        </w:rPr>
        <w:t xml:space="preserve"> due to unavoidable circumstances or reasons for which they cannot be held accountable</w:t>
      </w:r>
      <w:r w:rsidRPr="00FB7857">
        <w:rPr>
          <w:rFonts w:ascii="Cambria" w:eastAsia="新細明體" w:hAnsi="Cambria" w:cs="Times New Roman"/>
          <w:kern w:val="0"/>
          <w:szCs w:val="24"/>
        </w:rPr>
        <w:t xml:space="preserve">, the Ministry </w:t>
      </w:r>
      <w:r w:rsidR="006B4AD5" w:rsidRPr="00FB7857">
        <w:rPr>
          <w:rFonts w:ascii="Cambria" w:eastAsia="新細明體" w:hAnsi="Cambria" w:cs="Times New Roman"/>
          <w:kern w:val="0"/>
          <w:szCs w:val="24"/>
        </w:rPr>
        <w:t xml:space="preserve">shall be notified </w:t>
      </w:r>
      <w:r w:rsidRPr="00FB7857">
        <w:rPr>
          <w:rFonts w:ascii="Cambria" w:eastAsia="新細明體" w:hAnsi="Cambria" w:cs="Times New Roman"/>
          <w:kern w:val="0"/>
          <w:szCs w:val="24"/>
        </w:rPr>
        <w:t>in writing</w:t>
      </w:r>
      <w:r w:rsidR="006B4AD5" w:rsidRPr="00FB7857">
        <w:rPr>
          <w:rFonts w:ascii="Cambria" w:eastAsia="新細明體" w:hAnsi="Cambria" w:cs="Times New Roman"/>
          <w:kern w:val="0"/>
          <w:szCs w:val="24"/>
        </w:rPr>
        <w:t>;</w:t>
      </w:r>
      <w:r w:rsidRPr="00FB7857">
        <w:rPr>
          <w:rFonts w:ascii="Cambria" w:eastAsia="新細明體" w:hAnsi="Cambria" w:cs="Times New Roman"/>
          <w:kern w:val="0"/>
          <w:szCs w:val="24"/>
        </w:rPr>
        <w:t xml:space="preserve"> </w:t>
      </w:r>
      <w:r w:rsidR="000F735E" w:rsidRPr="00FB7857">
        <w:rPr>
          <w:rFonts w:ascii="Cambria" w:eastAsia="新細明體" w:hAnsi="Cambria" w:cs="Times New Roman"/>
          <w:kern w:val="0"/>
          <w:szCs w:val="24"/>
        </w:rPr>
        <w:t>grant recipient</w:t>
      </w:r>
      <w:r w:rsidR="006B4AD5" w:rsidRPr="00FB7857">
        <w:rPr>
          <w:rFonts w:ascii="Cambria" w:eastAsia="新細明體" w:hAnsi="Cambria" w:cs="Times New Roman"/>
          <w:kern w:val="0"/>
          <w:szCs w:val="24"/>
        </w:rPr>
        <w:t xml:space="preserve">s may withdraw from the project or leave their place of residence only after </w:t>
      </w:r>
      <w:r w:rsidR="00E54399">
        <w:rPr>
          <w:rFonts w:ascii="Cambria" w:eastAsia="新細明體" w:hAnsi="Cambria" w:cs="Times New Roman"/>
          <w:kern w:val="0"/>
          <w:szCs w:val="24"/>
        </w:rPr>
        <w:t xml:space="preserve">the </w:t>
      </w:r>
      <w:r w:rsidRPr="00FB7857">
        <w:rPr>
          <w:rFonts w:ascii="Cambria" w:eastAsia="新細明體" w:hAnsi="Cambria" w:cs="Times New Roman"/>
          <w:kern w:val="0"/>
          <w:szCs w:val="24"/>
        </w:rPr>
        <w:t>Ministry</w:t>
      </w:r>
      <w:r w:rsidR="00E54399">
        <w:rPr>
          <w:rFonts w:ascii="Cambria" w:eastAsia="新細明體" w:hAnsi="Cambria" w:cs="Times New Roman"/>
          <w:kern w:val="0"/>
          <w:szCs w:val="24"/>
        </w:rPr>
        <w:t>’s</w:t>
      </w:r>
      <w:r w:rsidRPr="00FB7857">
        <w:rPr>
          <w:rFonts w:ascii="Cambria" w:eastAsia="新細明體" w:hAnsi="Cambria" w:cs="Times New Roman"/>
          <w:kern w:val="0"/>
          <w:szCs w:val="24"/>
        </w:rPr>
        <w:t xml:space="preserve"> approval. </w:t>
      </w:r>
      <w:r w:rsidR="006B4AD5" w:rsidRPr="00FB7857">
        <w:rPr>
          <w:rFonts w:ascii="Cambria" w:eastAsia="新細明體" w:hAnsi="Cambria" w:cs="Times New Roman"/>
          <w:kern w:val="0"/>
          <w:szCs w:val="24"/>
        </w:rPr>
        <w:t>After written</w:t>
      </w:r>
      <w:r w:rsidRPr="00FB7857">
        <w:rPr>
          <w:rFonts w:ascii="Cambria" w:eastAsia="新細明體" w:hAnsi="Cambria" w:cs="Times New Roman"/>
          <w:kern w:val="0"/>
          <w:szCs w:val="24"/>
        </w:rPr>
        <w:t xml:space="preserve"> approval </w:t>
      </w:r>
      <w:r w:rsidR="006B4AD5" w:rsidRPr="00FB7857">
        <w:rPr>
          <w:rFonts w:ascii="Cambria" w:eastAsia="新細明體" w:hAnsi="Cambria" w:cs="Times New Roman"/>
          <w:kern w:val="0"/>
          <w:szCs w:val="24"/>
        </w:rPr>
        <w:t>by the Ministry, the</w:t>
      </w:r>
      <w:r w:rsidRPr="00FB7857">
        <w:rPr>
          <w:rFonts w:ascii="Cambria" w:eastAsia="新細明體" w:hAnsi="Cambria" w:cs="Times New Roman"/>
          <w:kern w:val="0"/>
          <w:szCs w:val="24"/>
        </w:rPr>
        <w:t xml:space="preserve"> living expenses and lodging funds </w:t>
      </w:r>
      <w:r w:rsidR="006B4AD5" w:rsidRPr="00FB7857">
        <w:rPr>
          <w:rFonts w:ascii="Cambria" w:eastAsia="新細明體" w:hAnsi="Cambria" w:cs="Times New Roman"/>
          <w:kern w:val="0"/>
          <w:szCs w:val="24"/>
        </w:rPr>
        <w:t xml:space="preserve">of said </w:t>
      </w:r>
      <w:r w:rsidR="000F735E" w:rsidRPr="00FB7857">
        <w:rPr>
          <w:rFonts w:ascii="Cambria" w:eastAsia="新細明體" w:hAnsi="Cambria" w:cs="Times New Roman"/>
          <w:kern w:val="0"/>
          <w:szCs w:val="24"/>
        </w:rPr>
        <w:t>grant recipient</w:t>
      </w:r>
      <w:r w:rsidR="006B4AD5" w:rsidRPr="00FB7857">
        <w:rPr>
          <w:rFonts w:ascii="Cambria" w:eastAsia="新細明體" w:hAnsi="Cambria" w:cs="Times New Roman"/>
          <w:kern w:val="0"/>
          <w:szCs w:val="24"/>
        </w:rPr>
        <w:t xml:space="preserve"> shall be </w:t>
      </w:r>
      <w:r w:rsidRPr="00FB7857">
        <w:rPr>
          <w:rFonts w:ascii="Cambria" w:eastAsia="新細明體" w:hAnsi="Cambria" w:cs="Times New Roman"/>
          <w:kern w:val="0"/>
          <w:szCs w:val="24"/>
        </w:rPr>
        <w:t>reduced by the commensurate amount for the time absent</w:t>
      </w:r>
      <w:r w:rsidR="006B4AD5" w:rsidRPr="00FB7857">
        <w:rPr>
          <w:rFonts w:ascii="Cambria" w:eastAsia="新細明體" w:hAnsi="Cambria" w:cs="Times New Roman"/>
          <w:kern w:val="0"/>
          <w:szCs w:val="24"/>
        </w:rPr>
        <w:t xml:space="preserve"> from the project or place of residence</w:t>
      </w:r>
      <w:r w:rsidRPr="00FB7857">
        <w:rPr>
          <w:rFonts w:ascii="Cambria" w:eastAsia="新細明體" w:hAnsi="Cambria" w:cs="Times New Roman"/>
          <w:kern w:val="0"/>
          <w:szCs w:val="24"/>
        </w:rPr>
        <w:t xml:space="preserve">. </w:t>
      </w:r>
      <w:r w:rsidR="006B4AD5" w:rsidRPr="00FB7857">
        <w:rPr>
          <w:rFonts w:ascii="Cambria" w:eastAsia="新細明體" w:hAnsi="Cambria" w:cs="Times New Roman"/>
          <w:kern w:val="0"/>
          <w:szCs w:val="24"/>
        </w:rPr>
        <w:t>In case of any breach of</w:t>
      </w:r>
      <w:r w:rsidRPr="00FB7857">
        <w:rPr>
          <w:rFonts w:ascii="Cambria" w:eastAsia="新細明體" w:hAnsi="Cambria" w:cs="Times New Roman"/>
          <w:kern w:val="0"/>
          <w:szCs w:val="24"/>
        </w:rPr>
        <w:t xml:space="preserve"> the above stipulation</w:t>
      </w:r>
      <w:r w:rsidR="00E54399">
        <w:rPr>
          <w:rFonts w:ascii="Cambria" w:eastAsia="新細明體" w:hAnsi="Cambria" w:cs="Times New Roman"/>
          <w:kern w:val="0"/>
          <w:szCs w:val="24"/>
        </w:rPr>
        <w:t>s</w:t>
      </w:r>
      <w:r w:rsidR="006B4AD5" w:rsidRPr="00FB7857">
        <w:rPr>
          <w:rFonts w:ascii="Cambria" w:eastAsia="新細明體" w:hAnsi="Cambria" w:cs="Times New Roman"/>
          <w:kern w:val="0"/>
          <w:szCs w:val="24"/>
        </w:rPr>
        <w:t>, the Ministry</w:t>
      </w:r>
      <w:r w:rsidRPr="00FB7857">
        <w:rPr>
          <w:rFonts w:ascii="Cambria" w:eastAsia="新細明體" w:hAnsi="Cambria" w:cs="Times New Roman"/>
          <w:kern w:val="0"/>
          <w:szCs w:val="24"/>
        </w:rPr>
        <w:t xml:space="preserve"> shall </w:t>
      </w:r>
      <w:r w:rsidR="00E54399">
        <w:rPr>
          <w:rFonts w:ascii="Cambria" w:eastAsia="新細明體" w:hAnsi="Cambria" w:cs="Times New Roman"/>
          <w:kern w:val="0"/>
          <w:szCs w:val="24"/>
        </w:rPr>
        <w:t xml:space="preserve">evaluate the circumstances and </w:t>
      </w:r>
      <w:r w:rsidR="006B4AD5" w:rsidRPr="00FB7857">
        <w:rPr>
          <w:rFonts w:ascii="Cambria" w:eastAsia="新細明體" w:hAnsi="Cambria" w:cs="Times New Roman"/>
          <w:kern w:val="0"/>
          <w:szCs w:val="24"/>
        </w:rPr>
        <w:t>terminate or cancel the eligibility of said</w:t>
      </w:r>
      <w:r w:rsidRPr="00FB7857">
        <w:rPr>
          <w:rFonts w:ascii="Cambria" w:eastAsia="新細明體" w:hAnsi="Cambria" w:cs="Times New Roman"/>
          <w:kern w:val="0"/>
          <w:szCs w:val="24"/>
        </w:rPr>
        <w:t xml:space="preserve"> </w:t>
      </w:r>
      <w:r w:rsidR="000F735E" w:rsidRPr="00FB7857">
        <w:rPr>
          <w:rFonts w:ascii="Cambria" w:eastAsia="新細明體" w:hAnsi="Cambria" w:cs="Times New Roman"/>
          <w:kern w:val="0"/>
          <w:szCs w:val="24"/>
        </w:rPr>
        <w:t>grant recipient</w:t>
      </w:r>
      <w:r w:rsidR="006B4AD5" w:rsidRPr="00FB7857">
        <w:rPr>
          <w:rFonts w:ascii="Cambria" w:eastAsia="新細明體" w:hAnsi="Cambria" w:cs="Times New Roman"/>
          <w:kern w:val="0"/>
          <w:szCs w:val="24"/>
        </w:rPr>
        <w:t xml:space="preserve"> to receive</w:t>
      </w:r>
      <w:r w:rsidR="008D3AC9" w:rsidRPr="00FB7857">
        <w:rPr>
          <w:rFonts w:ascii="Cambria" w:eastAsia="新細明體" w:hAnsi="Cambria" w:cs="Times New Roman"/>
          <w:kern w:val="0"/>
          <w:szCs w:val="24"/>
        </w:rPr>
        <w:t xml:space="preserve"> funds</w:t>
      </w:r>
      <w:r w:rsidRPr="00FB7857">
        <w:rPr>
          <w:rFonts w:ascii="Cambria" w:eastAsia="新細明體" w:hAnsi="Cambria" w:cs="Times New Roman"/>
          <w:kern w:val="0"/>
          <w:szCs w:val="24"/>
        </w:rPr>
        <w:t>.</w:t>
      </w:r>
    </w:p>
    <w:p w:rsidR="00B63C31" w:rsidRPr="00FB7857" w:rsidRDefault="000F735E" w:rsidP="00B0533F">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Grant recipient</w:t>
      </w:r>
      <w:r w:rsidR="00B63C31" w:rsidRPr="00FB7857">
        <w:rPr>
          <w:rFonts w:ascii="Cambria" w:eastAsia="新細明體" w:hAnsi="Cambria" w:cs="Times New Roman"/>
          <w:kern w:val="0"/>
          <w:szCs w:val="24"/>
        </w:rPr>
        <w:t xml:space="preserve">s shall warrant that works provided to the Ministry do not infringe upon the rights of third parties. Where a third party’s rights are infringed upon, </w:t>
      </w:r>
      <w:r w:rsidRPr="00FB7857">
        <w:rPr>
          <w:rFonts w:ascii="Cambria" w:eastAsia="新細明體" w:hAnsi="Cambria" w:cs="Times New Roman"/>
          <w:kern w:val="0"/>
          <w:szCs w:val="24"/>
        </w:rPr>
        <w:t>grant recipient</w:t>
      </w:r>
      <w:r w:rsidR="00B63C31" w:rsidRPr="00FB7857">
        <w:rPr>
          <w:rFonts w:ascii="Cambria" w:eastAsia="新細明體" w:hAnsi="Cambria" w:cs="Times New Roman"/>
          <w:kern w:val="0"/>
          <w:szCs w:val="24"/>
        </w:rPr>
        <w:t>s shall be responsible</w:t>
      </w:r>
      <w:r w:rsidR="00256E9B" w:rsidRPr="00FB7857">
        <w:rPr>
          <w:rFonts w:ascii="Cambria" w:eastAsia="新細明體" w:hAnsi="Cambria" w:cs="Times New Roman"/>
          <w:kern w:val="0"/>
          <w:szCs w:val="24"/>
        </w:rPr>
        <w:t xml:space="preserve"> for dealing with the situation</w:t>
      </w:r>
      <w:r w:rsidR="00B63C31" w:rsidRPr="00FB7857">
        <w:rPr>
          <w:rFonts w:ascii="Cambria" w:eastAsia="新細明體" w:hAnsi="Cambria" w:cs="Times New Roman"/>
          <w:kern w:val="0"/>
          <w:szCs w:val="24"/>
        </w:rPr>
        <w:t xml:space="preserve">. </w:t>
      </w:r>
      <w:r w:rsidR="00B0533F">
        <w:rPr>
          <w:rFonts w:ascii="Cambria" w:eastAsia="新細明體" w:hAnsi="Cambria" w:cs="Times New Roman"/>
          <w:kern w:val="0"/>
          <w:szCs w:val="24"/>
        </w:rPr>
        <w:t>Grant</w:t>
      </w:r>
      <w:r w:rsidR="00B0533F" w:rsidRPr="00B0533F">
        <w:rPr>
          <w:rFonts w:ascii="Cambria" w:eastAsia="新細明體" w:hAnsi="Cambria" w:cs="Times New Roman"/>
          <w:kern w:val="0"/>
          <w:szCs w:val="24"/>
        </w:rPr>
        <w:t xml:space="preserve"> recipients shall reimburse the Ministry for any losses such circumstances cause the Ministry to incur.</w:t>
      </w:r>
    </w:p>
    <w:p w:rsidR="00B63C31" w:rsidRPr="00FB7857" w:rsidRDefault="00B63C31"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lastRenderedPageBreak/>
        <w:t xml:space="preserve">Where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 xml:space="preserve">s are found to be in breach of these </w:t>
      </w:r>
      <w:r w:rsidR="00B51F1A" w:rsidRPr="00FB7857">
        <w:rPr>
          <w:rFonts w:ascii="Cambria" w:eastAsia="新細明體" w:hAnsi="Cambria" w:cs="Times New Roman"/>
          <w:kern w:val="0"/>
          <w:szCs w:val="24"/>
        </w:rPr>
        <w:t>Guidelines and Procedures</w:t>
      </w:r>
      <w:r w:rsidRPr="00FB7857">
        <w:rPr>
          <w:rFonts w:ascii="Cambria" w:eastAsia="新細明體" w:hAnsi="Cambria" w:cs="Times New Roman"/>
          <w:kern w:val="0"/>
          <w:szCs w:val="24"/>
        </w:rPr>
        <w:t xml:space="preserve">, the funding contract, or other rules and regulations, the Ministry </w:t>
      </w:r>
      <w:r w:rsidR="00256E9B" w:rsidRPr="00FB7857">
        <w:rPr>
          <w:rFonts w:ascii="Cambria" w:eastAsia="新細明體" w:hAnsi="Cambria" w:cs="Times New Roman"/>
          <w:kern w:val="0"/>
          <w:szCs w:val="24"/>
        </w:rPr>
        <w:t>may</w:t>
      </w:r>
      <w:r w:rsidRPr="00FB7857">
        <w:rPr>
          <w:rFonts w:ascii="Cambria" w:eastAsia="新細明體" w:hAnsi="Cambria" w:cs="Times New Roman"/>
          <w:kern w:val="0"/>
          <w:szCs w:val="24"/>
        </w:rPr>
        <w:t xml:space="preserve">, depending upon the severity of the offense, </w:t>
      </w:r>
      <w:r w:rsidR="00256E9B" w:rsidRPr="00FB7857">
        <w:rPr>
          <w:rFonts w:ascii="Cambria" w:eastAsia="新細明體" w:hAnsi="Cambria" w:cs="Times New Roman"/>
          <w:kern w:val="0"/>
          <w:szCs w:val="24"/>
        </w:rPr>
        <w:t>seek</w:t>
      </w:r>
      <w:r w:rsidRPr="00FB7857">
        <w:rPr>
          <w:rFonts w:ascii="Cambria" w:eastAsia="新細明體" w:hAnsi="Cambria" w:cs="Times New Roman"/>
          <w:kern w:val="0"/>
          <w:szCs w:val="24"/>
        </w:rPr>
        <w:t xml:space="preserve"> </w:t>
      </w:r>
      <w:r w:rsidR="00B0533F">
        <w:rPr>
          <w:rFonts w:ascii="Cambria" w:eastAsia="新細明體" w:hAnsi="Cambria" w:cs="Times New Roman"/>
          <w:kern w:val="0"/>
          <w:szCs w:val="24"/>
        </w:rPr>
        <w:t xml:space="preserve">the </w:t>
      </w:r>
      <w:r w:rsidRPr="00FB7857">
        <w:rPr>
          <w:rFonts w:ascii="Cambria" w:eastAsia="新細明體" w:hAnsi="Cambria" w:cs="Times New Roman"/>
          <w:kern w:val="0"/>
          <w:szCs w:val="24"/>
        </w:rPr>
        <w:t xml:space="preserve">return </w:t>
      </w:r>
      <w:r w:rsidR="00256E9B" w:rsidRPr="00FB7857">
        <w:rPr>
          <w:rFonts w:ascii="Cambria" w:eastAsia="新細明體" w:hAnsi="Cambria" w:cs="Times New Roman"/>
          <w:kern w:val="0"/>
          <w:szCs w:val="24"/>
        </w:rPr>
        <w:t xml:space="preserve">of </w:t>
      </w:r>
      <w:r w:rsidRPr="00FB7857">
        <w:rPr>
          <w:rFonts w:ascii="Cambria" w:eastAsia="新細明體" w:hAnsi="Cambria" w:cs="Times New Roman"/>
          <w:kern w:val="0"/>
          <w:szCs w:val="24"/>
        </w:rPr>
        <w:t>part or all of the funds already remitted</w:t>
      </w:r>
      <w:r w:rsidR="00256E9B" w:rsidRPr="00FB7857">
        <w:rPr>
          <w:rFonts w:ascii="Cambria" w:eastAsia="新細明體" w:hAnsi="Cambria" w:cs="Times New Roman"/>
          <w:kern w:val="0"/>
          <w:szCs w:val="24"/>
        </w:rPr>
        <w:t xml:space="preserve"> to </w:t>
      </w:r>
      <w:r w:rsidR="000F735E" w:rsidRPr="00FB7857">
        <w:rPr>
          <w:rFonts w:ascii="Cambria" w:eastAsia="新細明體" w:hAnsi="Cambria" w:cs="Times New Roman"/>
          <w:kern w:val="0"/>
          <w:szCs w:val="24"/>
        </w:rPr>
        <w:t>grant recipient</w:t>
      </w:r>
      <w:r w:rsidR="00256E9B" w:rsidRPr="00FB7857">
        <w:rPr>
          <w:rFonts w:ascii="Cambria" w:eastAsia="新細明體" w:hAnsi="Cambria" w:cs="Times New Roman"/>
          <w:kern w:val="0"/>
          <w:szCs w:val="24"/>
        </w:rPr>
        <w:t>s; and applications from s</w:t>
      </w:r>
      <w:r w:rsidRPr="00FB7857">
        <w:rPr>
          <w:rFonts w:ascii="Cambria" w:eastAsia="新細明體" w:hAnsi="Cambria" w:cs="Times New Roman"/>
          <w:kern w:val="0"/>
          <w:szCs w:val="24"/>
        </w:rPr>
        <w:t xml:space="preserve">uch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 xml:space="preserve">s shall </w:t>
      </w:r>
      <w:r w:rsidR="00256E9B" w:rsidRPr="00FB7857">
        <w:rPr>
          <w:rFonts w:ascii="Cambria" w:eastAsia="新細明體" w:hAnsi="Cambria" w:cs="Times New Roman"/>
          <w:kern w:val="0"/>
          <w:szCs w:val="24"/>
        </w:rPr>
        <w:t xml:space="preserve">not </w:t>
      </w:r>
      <w:r w:rsidRPr="00FB7857">
        <w:rPr>
          <w:rFonts w:ascii="Cambria" w:eastAsia="新細明體" w:hAnsi="Cambria" w:cs="Times New Roman"/>
          <w:kern w:val="0"/>
          <w:szCs w:val="24"/>
        </w:rPr>
        <w:t xml:space="preserve">be </w:t>
      </w:r>
      <w:r w:rsidR="00256E9B" w:rsidRPr="00FB7857">
        <w:rPr>
          <w:rFonts w:ascii="Cambria" w:eastAsia="新細明體" w:hAnsi="Cambria" w:cs="Times New Roman"/>
          <w:kern w:val="0"/>
          <w:szCs w:val="24"/>
        </w:rPr>
        <w:t>accepted</w:t>
      </w:r>
      <w:r w:rsidRPr="00FB7857">
        <w:rPr>
          <w:rFonts w:ascii="Cambria" w:eastAsia="新細明體" w:hAnsi="Cambria" w:cs="Times New Roman"/>
          <w:kern w:val="0"/>
          <w:szCs w:val="24"/>
        </w:rPr>
        <w:t xml:space="preserve"> for a period of two years.</w:t>
      </w:r>
    </w:p>
    <w:p w:rsidR="00B63C31" w:rsidRPr="00FB7857" w:rsidRDefault="00B63C31"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In the case where a project’s completion ends </w:t>
      </w:r>
      <w:r w:rsidR="00256E9B" w:rsidRPr="00FB7857">
        <w:rPr>
          <w:rFonts w:ascii="Cambria" w:eastAsia="新細明體" w:hAnsi="Cambria" w:cs="Times New Roman"/>
          <w:kern w:val="0"/>
          <w:szCs w:val="24"/>
        </w:rPr>
        <w:t>with</w:t>
      </w:r>
      <w:r w:rsidRPr="00FB7857">
        <w:rPr>
          <w:rFonts w:ascii="Cambria" w:eastAsia="新細明體" w:hAnsi="Cambria" w:cs="Times New Roman"/>
          <w:kern w:val="0"/>
          <w:szCs w:val="24"/>
        </w:rPr>
        <w:t xml:space="preserve"> surplus</w:t>
      </w:r>
      <w:r w:rsidR="00256E9B" w:rsidRPr="00FB7857">
        <w:rPr>
          <w:rFonts w:ascii="Cambria" w:eastAsia="新細明體" w:hAnsi="Cambria" w:cs="Times New Roman"/>
          <w:kern w:val="0"/>
          <w:szCs w:val="24"/>
        </w:rPr>
        <w:t xml:space="preserve"> funds</w:t>
      </w:r>
      <w:r w:rsidRPr="00FB7857">
        <w:rPr>
          <w:rFonts w:ascii="Cambria" w:eastAsia="新細明體" w:hAnsi="Cambria" w:cs="Times New Roman"/>
          <w:kern w:val="0"/>
          <w:szCs w:val="24"/>
        </w:rPr>
        <w:t xml:space="preserve">,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 xml:space="preserve">s shall remit the </w:t>
      </w:r>
      <w:r w:rsidR="00256E9B" w:rsidRPr="00FB7857">
        <w:rPr>
          <w:rFonts w:ascii="Cambria" w:eastAsia="新細明體" w:hAnsi="Cambria" w:cs="Times New Roman"/>
          <w:kern w:val="0"/>
          <w:szCs w:val="24"/>
        </w:rPr>
        <w:t>remaining funds</w:t>
      </w:r>
      <w:r w:rsidRPr="00FB7857">
        <w:rPr>
          <w:rFonts w:ascii="Cambria" w:eastAsia="新細明體" w:hAnsi="Cambria" w:cs="Times New Roman"/>
          <w:kern w:val="0"/>
          <w:szCs w:val="24"/>
        </w:rPr>
        <w:t xml:space="preserve"> to the Ministry </w:t>
      </w:r>
      <w:r w:rsidR="00256E9B" w:rsidRPr="00FB7857">
        <w:rPr>
          <w:rFonts w:ascii="Cambria" w:eastAsia="新細明體" w:hAnsi="Cambria" w:cs="Times New Roman"/>
          <w:kern w:val="0"/>
          <w:szCs w:val="24"/>
        </w:rPr>
        <w:t>based</w:t>
      </w:r>
      <w:r w:rsidRPr="00FB7857">
        <w:rPr>
          <w:rFonts w:ascii="Cambria" w:eastAsia="新細明體" w:hAnsi="Cambria" w:cs="Times New Roman"/>
          <w:kern w:val="0"/>
          <w:szCs w:val="24"/>
        </w:rPr>
        <w:t xml:space="preserve"> </w:t>
      </w:r>
      <w:r w:rsidR="00256E9B" w:rsidRPr="00FB7857">
        <w:rPr>
          <w:rFonts w:ascii="Cambria" w:eastAsia="新細明體" w:hAnsi="Cambria" w:cs="Times New Roman"/>
          <w:kern w:val="0"/>
          <w:szCs w:val="24"/>
        </w:rPr>
        <w:t>on</w:t>
      </w:r>
      <w:r w:rsidRPr="00FB7857">
        <w:rPr>
          <w:rFonts w:ascii="Cambria" w:eastAsia="新細明體" w:hAnsi="Cambria" w:cs="Times New Roman"/>
          <w:kern w:val="0"/>
          <w:szCs w:val="24"/>
        </w:rPr>
        <w:t xml:space="preserve"> the original funding ratio; any interest generated by the use of </w:t>
      </w:r>
      <w:r w:rsidR="00256E9B" w:rsidRPr="00FB7857">
        <w:rPr>
          <w:rFonts w:ascii="Cambria" w:eastAsia="新細明體" w:hAnsi="Cambria" w:cs="Times New Roman"/>
          <w:kern w:val="0"/>
          <w:szCs w:val="24"/>
        </w:rPr>
        <w:t xml:space="preserve">the </w:t>
      </w:r>
      <w:r w:rsidRPr="00FB7857">
        <w:rPr>
          <w:rFonts w:ascii="Cambria" w:eastAsia="新細明體" w:hAnsi="Cambria" w:cs="Times New Roman"/>
          <w:kern w:val="0"/>
          <w:szCs w:val="24"/>
        </w:rPr>
        <w:t>funds shall be remitted in full to the Ministry as well.</w:t>
      </w:r>
    </w:p>
    <w:p w:rsidR="00B63C31" w:rsidRPr="00FB7857" w:rsidRDefault="00B63C31"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When the same project is submitted to two or more organizations for funding, the applicant shall </w:t>
      </w:r>
      <w:r w:rsidR="00256E9B" w:rsidRPr="00FB7857">
        <w:rPr>
          <w:rFonts w:ascii="Cambria" w:eastAsia="新細明體" w:hAnsi="Cambria" w:cs="Times New Roman"/>
          <w:kern w:val="0"/>
          <w:szCs w:val="24"/>
        </w:rPr>
        <w:t xml:space="preserve">clearly </w:t>
      </w:r>
      <w:r w:rsidRPr="00FB7857">
        <w:rPr>
          <w:rFonts w:ascii="Cambria" w:eastAsia="新細明體" w:hAnsi="Cambria" w:cs="Times New Roman"/>
          <w:kern w:val="0"/>
          <w:szCs w:val="24"/>
        </w:rPr>
        <w:t xml:space="preserve">list the entire content of expenses and the </w:t>
      </w:r>
      <w:r w:rsidR="005565AE" w:rsidRPr="00FB7857">
        <w:rPr>
          <w:rFonts w:ascii="Cambria" w:eastAsia="新細明體" w:hAnsi="Cambria" w:cs="Times New Roman"/>
          <w:kern w:val="0"/>
          <w:szCs w:val="24"/>
        </w:rPr>
        <w:t xml:space="preserve">funding </w:t>
      </w:r>
      <w:r w:rsidRPr="00FB7857">
        <w:rPr>
          <w:rFonts w:ascii="Cambria" w:eastAsia="新細明體" w:hAnsi="Cambria" w:cs="Times New Roman"/>
          <w:kern w:val="0"/>
          <w:szCs w:val="24"/>
        </w:rPr>
        <w:t xml:space="preserve">items and amount </w:t>
      </w:r>
      <w:r w:rsidR="005565AE" w:rsidRPr="00FB7857">
        <w:rPr>
          <w:rFonts w:ascii="Cambria" w:eastAsia="新細明體" w:hAnsi="Cambria" w:cs="Times New Roman"/>
          <w:kern w:val="0"/>
          <w:szCs w:val="24"/>
        </w:rPr>
        <w:t>for which application has been made to each organization</w:t>
      </w:r>
      <w:r w:rsidRPr="00FB7857">
        <w:rPr>
          <w:rFonts w:ascii="Cambria" w:eastAsia="新細明體" w:hAnsi="Cambria" w:cs="Times New Roman"/>
          <w:kern w:val="0"/>
          <w:szCs w:val="24"/>
        </w:rPr>
        <w:t xml:space="preserve">. </w:t>
      </w:r>
      <w:r w:rsidR="005565AE" w:rsidRPr="00FB7857">
        <w:rPr>
          <w:rFonts w:ascii="Cambria" w:eastAsia="新細明體" w:hAnsi="Cambria" w:cs="Times New Roman"/>
          <w:kern w:val="0"/>
          <w:szCs w:val="24"/>
        </w:rPr>
        <w:t>If any such information on the application is</w:t>
      </w:r>
      <w:r w:rsidRPr="00FB7857">
        <w:rPr>
          <w:rFonts w:ascii="Cambria" w:eastAsia="新細明體" w:hAnsi="Cambria" w:cs="Times New Roman"/>
          <w:kern w:val="0"/>
          <w:szCs w:val="24"/>
        </w:rPr>
        <w:t xml:space="preserve"> concealed or falsified, the Ministry will cancel </w:t>
      </w:r>
      <w:r w:rsidR="005565AE" w:rsidRPr="00FB7857">
        <w:rPr>
          <w:rFonts w:ascii="Cambria" w:eastAsia="新細明體" w:hAnsi="Cambria" w:cs="Times New Roman"/>
          <w:kern w:val="0"/>
          <w:szCs w:val="24"/>
        </w:rPr>
        <w:t>the</w:t>
      </w:r>
      <w:r w:rsidRPr="00FB7857">
        <w:rPr>
          <w:rFonts w:ascii="Cambria" w:eastAsia="新細明體" w:hAnsi="Cambria" w:cs="Times New Roman"/>
          <w:kern w:val="0"/>
          <w:szCs w:val="24"/>
        </w:rPr>
        <w:t xml:space="preserve"> </w:t>
      </w:r>
      <w:r w:rsidR="000F735E" w:rsidRPr="00FB7857">
        <w:rPr>
          <w:rFonts w:ascii="Cambria" w:eastAsia="新細明體" w:hAnsi="Cambria" w:cs="Times New Roman"/>
          <w:kern w:val="0"/>
          <w:szCs w:val="24"/>
        </w:rPr>
        <w:t>grant recipient</w:t>
      </w:r>
      <w:r w:rsidR="005565AE" w:rsidRPr="00FB7857">
        <w:rPr>
          <w:rFonts w:ascii="Cambria" w:eastAsia="新細明體" w:hAnsi="Cambria" w:cs="Times New Roman"/>
          <w:kern w:val="0"/>
          <w:szCs w:val="24"/>
        </w:rPr>
        <w:t xml:space="preserve">’s eligibility to receive funds, terminate the contract </w:t>
      </w:r>
      <w:r w:rsidRPr="00FB7857">
        <w:rPr>
          <w:rFonts w:ascii="Cambria" w:eastAsia="新細明體" w:hAnsi="Cambria" w:cs="Times New Roman"/>
          <w:kern w:val="0"/>
          <w:szCs w:val="24"/>
        </w:rPr>
        <w:t xml:space="preserve">and </w:t>
      </w:r>
      <w:r w:rsidR="007D0F57" w:rsidRPr="00FB7857">
        <w:rPr>
          <w:rFonts w:ascii="Cambria" w:eastAsia="新細明體" w:hAnsi="Cambria" w:cs="Times New Roman"/>
          <w:kern w:val="0"/>
          <w:szCs w:val="24"/>
        </w:rPr>
        <w:t>take back</w:t>
      </w:r>
      <w:r w:rsidRPr="00FB7857">
        <w:rPr>
          <w:rFonts w:ascii="Cambria" w:eastAsia="新細明體" w:hAnsi="Cambria" w:cs="Times New Roman"/>
          <w:kern w:val="0"/>
          <w:szCs w:val="24"/>
        </w:rPr>
        <w:t xml:space="preserve"> </w:t>
      </w:r>
      <w:r w:rsidR="005565AE" w:rsidRPr="00FB7857">
        <w:rPr>
          <w:rFonts w:ascii="Cambria" w:eastAsia="新細明體" w:hAnsi="Cambria" w:cs="Times New Roman"/>
          <w:kern w:val="0"/>
          <w:szCs w:val="24"/>
        </w:rPr>
        <w:t>previously disbursed</w:t>
      </w:r>
      <w:r w:rsidRPr="00FB7857">
        <w:rPr>
          <w:rFonts w:ascii="Cambria" w:eastAsia="新細明體" w:hAnsi="Cambria" w:cs="Times New Roman"/>
          <w:kern w:val="0"/>
          <w:szCs w:val="24"/>
        </w:rPr>
        <w:t xml:space="preserve"> funds.</w:t>
      </w:r>
    </w:p>
    <w:p w:rsidR="00B63C31" w:rsidRPr="00FB7857" w:rsidRDefault="00B63C31"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If the project funding involves procurement </w:t>
      </w:r>
      <w:r w:rsidR="00DC56A8" w:rsidRPr="00FB7857">
        <w:rPr>
          <w:rFonts w:ascii="Cambria" w:eastAsia="新細明體" w:hAnsi="Cambria" w:cs="Times New Roman"/>
          <w:kern w:val="0"/>
          <w:szCs w:val="24"/>
        </w:rPr>
        <w:t>matters</w:t>
      </w:r>
      <w:r w:rsidRPr="00FB7857">
        <w:rPr>
          <w:rFonts w:ascii="Cambria" w:eastAsia="新細明體" w:hAnsi="Cambria" w:cs="Times New Roman"/>
          <w:kern w:val="0"/>
          <w:szCs w:val="24"/>
        </w:rPr>
        <w:t>, the case shall be handled in accordance with the Government Procurement Law and related regulations.</w:t>
      </w:r>
    </w:p>
    <w:p w:rsidR="00B63C31" w:rsidRPr="00FB7857" w:rsidRDefault="00B63C31"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Upon the completion of the project,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 xml:space="preserve">s shall report their expenditures, submit payment vouchers in accordance with </w:t>
      </w:r>
      <w:r w:rsidR="00E06AA3" w:rsidRPr="00FB7857">
        <w:rPr>
          <w:rFonts w:ascii="Cambria" w:eastAsia="新細明體" w:hAnsi="Cambria" w:cs="Times New Roman"/>
          <w:kern w:val="0"/>
          <w:szCs w:val="24"/>
        </w:rPr>
        <w:t xml:space="preserve">the stipulations of the government’s </w:t>
      </w:r>
      <w:r w:rsidR="00A42A34" w:rsidRPr="00FB7857">
        <w:rPr>
          <w:rFonts w:ascii="Cambria" w:hAnsi="Cambria" w:cs="Times New Roman"/>
          <w:shd w:val="clear" w:color="auto" w:fill="FFFFFF"/>
        </w:rPr>
        <w:t>Management</w:t>
      </w:r>
      <w:r w:rsidR="00A42A34" w:rsidRPr="00FB7857">
        <w:rPr>
          <w:rStyle w:val="apple-converted-space"/>
          <w:rFonts w:ascii="Cambria" w:hAnsi="Cambria" w:cs="Times New Roman"/>
          <w:shd w:val="clear" w:color="auto" w:fill="FFFFFF"/>
        </w:rPr>
        <w:t> </w:t>
      </w:r>
      <w:r w:rsidR="00A42A34" w:rsidRPr="00FB7857">
        <w:rPr>
          <w:rStyle w:val="a8"/>
          <w:rFonts w:ascii="Cambria" w:hAnsi="Cambria" w:cs="Times New Roman"/>
          <w:i w:val="0"/>
          <w:iCs w:val="0"/>
          <w:shd w:val="clear" w:color="auto" w:fill="FFFFFF"/>
        </w:rPr>
        <w:t>Guidelines</w:t>
      </w:r>
      <w:r w:rsidR="00A42A34" w:rsidRPr="00FB7857">
        <w:rPr>
          <w:rStyle w:val="apple-converted-space"/>
          <w:rFonts w:ascii="Cambria" w:hAnsi="Cambria" w:cs="Times New Roman"/>
          <w:shd w:val="clear" w:color="auto" w:fill="FFFFFF"/>
        </w:rPr>
        <w:t> </w:t>
      </w:r>
      <w:r w:rsidR="00A42A34" w:rsidRPr="00FB7857">
        <w:rPr>
          <w:rFonts w:ascii="Cambria" w:hAnsi="Cambria" w:cs="Times New Roman"/>
          <w:shd w:val="clear" w:color="auto" w:fill="FFFFFF"/>
        </w:rPr>
        <w:t>for The Disposal of Expenditure</w:t>
      </w:r>
      <w:r w:rsidR="00C5677B" w:rsidRPr="00FB7857">
        <w:rPr>
          <w:rFonts w:ascii="Cambria" w:hAnsi="Cambria" w:cs="Times New Roman"/>
          <w:shd w:val="clear" w:color="auto" w:fill="FFFFFF"/>
        </w:rPr>
        <w:t xml:space="preserve"> Voucher</w:t>
      </w:r>
      <w:r w:rsidRPr="00FB7857">
        <w:rPr>
          <w:rFonts w:ascii="Cambria" w:eastAsia="新細明體" w:hAnsi="Cambria" w:cs="Times New Roman"/>
          <w:kern w:val="0"/>
          <w:szCs w:val="24"/>
        </w:rPr>
        <w:t>, and provide a detailed breakdown of expenditure items and the total amount of all actual expenditures incurred by the project.</w:t>
      </w:r>
    </w:p>
    <w:p w:rsidR="00B63C31" w:rsidRPr="00FB7857" w:rsidRDefault="00B63C31"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When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 xml:space="preserve">s apply for reimbursement, they shall be held responsible for the authenticity of their </w:t>
      </w:r>
      <w:r w:rsidR="00433CF7" w:rsidRPr="00FB7857">
        <w:rPr>
          <w:rFonts w:ascii="Cambria" w:eastAsia="新細明體" w:hAnsi="Cambria" w:cs="Times New Roman"/>
          <w:kern w:val="0"/>
          <w:szCs w:val="24"/>
        </w:rPr>
        <w:t>receipts/vouchers</w:t>
      </w:r>
      <w:r w:rsidRPr="00FB7857">
        <w:rPr>
          <w:rFonts w:ascii="Cambria" w:eastAsia="新細明體" w:hAnsi="Cambria" w:cs="Times New Roman"/>
          <w:kern w:val="0"/>
          <w:szCs w:val="24"/>
        </w:rPr>
        <w:t xml:space="preserve"> based on the principle of good faith; in the case of concealed or falsified information, </w:t>
      </w:r>
      <w:r w:rsidR="000F735E" w:rsidRPr="00FB7857">
        <w:rPr>
          <w:rFonts w:ascii="Cambria" w:eastAsia="新細明體" w:hAnsi="Cambria" w:cs="Times New Roman"/>
          <w:kern w:val="0"/>
          <w:szCs w:val="24"/>
        </w:rPr>
        <w:t>grant recipient</w:t>
      </w:r>
      <w:r w:rsidRPr="00FB7857">
        <w:rPr>
          <w:rFonts w:ascii="Cambria" w:eastAsia="新細明體" w:hAnsi="Cambria" w:cs="Times New Roman"/>
          <w:kern w:val="0"/>
          <w:szCs w:val="24"/>
        </w:rPr>
        <w:t>s will be hold accountable.</w:t>
      </w:r>
    </w:p>
    <w:p w:rsidR="00E06AA3" w:rsidRPr="00FB7857" w:rsidRDefault="0031537F" w:rsidP="00FB3D5B">
      <w:pPr>
        <w:widowControl/>
        <w:numPr>
          <w:ilvl w:val="0"/>
          <w:numId w:val="1"/>
        </w:numPr>
        <w:spacing w:before="100" w:beforeAutospacing="1" w:after="100" w:afterAutospacing="1"/>
        <w:rPr>
          <w:rFonts w:ascii="Cambria" w:eastAsia="新細明體" w:hAnsi="Cambria" w:cs="Times New Roman"/>
          <w:kern w:val="0"/>
          <w:szCs w:val="24"/>
        </w:rPr>
      </w:pPr>
      <w:r w:rsidRPr="00FB7857">
        <w:rPr>
          <w:rFonts w:ascii="Cambria" w:eastAsia="新細明體" w:hAnsi="Cambria" w:cs="Times New Roman"/>
          <w:kern w:val="0"/>
          <w:szCs w:val="24"/>
        </w:rPr>
        <w:t xml:space="preserve">If during the Ministry’s evaluation of the use of grant (donation) funds it discovers that the results are less than satisfactory, situations where expenditures have been made for uses other than </w:t>
      </w:r>
      <w:r w:rsidR="00B0533F">
        <w:rPr>
          <w:rFonts w:ascii="Cambria" w:eastAsia="新細明體" w:hAnsi="Cambria" w:cs="Times New Roman"/>
          <w:kern w:val="0"/>
          <w:szCs w:val="24"/>
        </w:rPr>
        <w:t xml:space="preserve">the objectives </w:t>
      </w:r>
      <w:r w:rsidRPr="00FB7857">
        <w:rPr>
          <w:rFonts w:ascii="Cambria" w:eastAsia="新細明體" w:hAnsi="Cambria" w:cs="Times New Roman"/>
          <w:kern w:val="0"/>
          <w:szCs w:val="24"/>
        </w:rPr>
        <w:t xml:space="preserve">designated </w:t>
      </w:r>
      <w:r w:rsidR="009F2928" w:rsidRPr="00FB7857">
        <w:rPr>
          <w:rFonts w:ascii="Cambria" w:eastAsia="新細明體" w:hAnsi="Cambria" w:cs="Times New Roman"/>
          <w:kern w:val="0"/>
          <w:szCs w:val="24"/>
        </w:rPr>
        <w:t xml:space="preserve">by the Ministry </w:t>
      </w:r>
      <w:r w:rsidRPr="00FB7857">
        <w:rPr>
          <w:rFonts w:ascii="Cambria" w:eastAsia="新細明體" w:hAnsi="Cambria" w:cs="Times New Roman"/>
          <w:kern w:val="0"/>
          <w:szCs w:val="24"/>
        </w:rPr>
        <w:t xml:space="preserve">for the grant (donation), false or overstated reporting, it shall demand return of the said portion of grant (donation) funds and may, depending on the severity of the situation, cancel </w:t>
      </w:r>
      <w:r w:rsidR="00B0533F">
        <w:rPr>
          <w:rFonts w:ascii="Cambria" w:eastAsia="新細明體" w:hAnsi="Cambria" w:cs="Times New Roman"/>
          <w:kern w:val="0"/>
          <w:szCs w:val="24"/>
        </w:rPr>
        <w:t xml:space="preserve">or </w:t>
      </w:r>
      <w:r w:rsidRPr="00FB7857">
        <w:rPr>
          <w:rFonts w:ascii="Cambria" w:eastAsia="新細明體" w:hAnsi="Cambria" w:cs="Times New Roman"/>
          <w:kern w:val="0"/>
          <w:szCs w:val="24"/>
        </w:rPr>
        <w:t>terminate the applicant’s funding eligibility for one (1) to five (5) years.</w:t>
      </w:r>
    </w:p>
    <w:p w:rsidR="00B63C31" w:rsidRPr="00FB7857" w:rsidRDefault="00B0533F" w:rsidP="000531D4">
      <w:pPr>
        <w:widowControl/>
        <w:spacing w:before="100" w:beforeAutospacing="1" w:after="100" w:afterAutospacing="1"/>
        <w:ind w:left="720"/>
        <w:rPr>
          <w:rFonts w:ascii="Cambria" w:eastAsia="新細明體" w:hAnsi="Cambria" w:cs="Times New Roman"/>
          <w:kern w:val="0"/>
          <w:szCs w:val="24"/>
        </w:rPr>
      </w:pPr>
      <w:r w:rsidRPr="000531D4">
        <w:rPr>
          <w:rFonts w:ascii="Cambria" w:eastAsia="新細明體" w:hAnsi="Cambria" w:cs="Times New Roman"/>
          <w:b/>
          <w:kern w:val="0"/>
          <w:szCs w:val="24"/>
        </w:rPr>
        <w:lastRenderedPageBreak/>
        <w:t>XII.</w:t>
      </w:r>
      <w:r>
        <w:rPr>
          <w:rFonts w:ascii="Cambria" w:eastAsia="新細明體" w:hAnsi="Cambria" w:cs="Times New Roman"/>
          <w:kern w:val="0"/>
          <w:szCs w:val="24"/>
        </w:rPr>
        <w:t xml:space="preserve"> </w:t>
      </w:r>
      <w:r w:rsidR="00B63C31" w:rsidRPr="00FB7857">
        <w:rPr>
          <w:rFonts w:ascii="Cambria" w:eastAsia="新細明體" w:hAnsi="Cambria" w:cs="Times New Roman"/>
          <w:kern w:val="0"/>
          <w:szCs w:val="24"/>
        </w:rPr>
        <w:t xml:space="preserve">The Ministry will provide an explanation </w:t>
      </w:r>
      <w:r w:rsidR="00890D69" w:rsidRPr="00FB7857">
        <w:rPr>
          <w:rFonts w:ascii="Cambria" w:eastAsia="新細明體" w:hAnsi="Cambria" w:cs="Times New Roman"/>
          <w:kern w:val="0"/>
          <w:szCs w:val="24"/>
        </w:rPr>
        <w:t xml:space="preserve">concerning these </w:t>
      </w:r>
      <w:r w:rsidR="00B51F1A" w:rsidRPr="00FB7857">
        <w:rPr>
          <w:rFonts w:ascii="Cambria" w:eastAsia="新細明體" w:hAnsi="Cambria" w:cs="Times New Roman"/>
          <w:kern w:val="0"/>
          <w:szCs w:val="24"/>
        </w:rPr>
        <w:t>Guidelines and Procedures</w:t>
      </w:r>
      <w:r w:rsidR="00890D69" w:rsidRPr="00FB7857">
        <w:rPr>
          <w:rFonts w:ascii="Cambria" w:eastAsia="新細明體" w:hAnsi="Cambria" w:cs="Times New Roman"/>
          <w:kern w:val="0"/>
          <w:szCs w:val="24"/>
        </w:rPr>
        <w:t xml:space="preserve"> </w:t>
      </w:r>
      <w:r w:rsidR="00E00020" w:rsidRPr="00FB7857">
        <w:rPr>
          <w:rFonts w:ascii="Cambria" w:eastAsia="新細明體" w:hAnsi="Cambria" w:cs="Times New Roman"/>
          <w:kern w:val="0"/>
          <w:szCs w:val="24"/>
        </w:rPr>
        <w:t>wherever</w:t>
      </w:r>
      <w:r w:rsidR="00196269" w:rsidRPr="00FB7857">
        <w:rPr>
          <w:rFonts w:ascii="Cambria" w:eastAsia="新細明體" w:hAnsi="Cambria" w:cs="Times New Roman"/>
          <w:kern w:val="0"/>
          <w:szCs w:val="24"/>
        </w:rPr>
        <w:t xml:space="preserve"> doubts arise</w:t>
      </w:r>
      <w:r w:rsidR="00B63C31" w:rsidRPr="00FB7857">
        <w:rPr>
          <w:rFonts w:ascii="Cambria" w:eastAsia="新細明體" w:hAnsi="Cambria" w:cs="Times New Roman"/>
          <w:kern w:val="0"/>
          <w:szCs w:val="24"/>
        </w:rPr>
        <w:t xml:space="preserve"> or</w:t>
      </w:r>
      <w:r w:rsidR="00890D69" w:rsidRPr="00FB7857">
        <w:rPr>
          <w:rFonts w:ascii="Cambria" w:eastAsia="新細明體" w:hAnsi="Cambria" w:cs="Times New Roman"/>
          <w:kern w:val="0"/>
          <w:szCs w:val="24"/>
        </w:rPr>
        <w:t xml:space="preserve"> there is lack of clarity</w:t>
      </w:r>
      <w:r w:rsidR="00B63C31" w:rsidRPr="00FB7857">
        <w:rPr>
          <w:rFonts w:ascii="Cambria" w:eastAsia="新細明體" w:hAnsi="Cambria" w:cs="Times New Roman"/>
          <w:kern w:val="0"/>
          <w:szCs w:val="24"/>
        </w:rPr>
        <w:t>.</w:t>
      </w:r>
    </w:p>
    <w:p w:rsidR="00F83A77" w:rsidRPr="00FB7857" w:rsidRDefault="00F83A77" w:rsidP="00865FB4">
      <w:pPr>
        <w:pageBreakBefore/>
        <w:widowControl/>
        <w:spacing w:before="100" w:beforeAutospacing="1" w:after="100" w:afterAutospacing="1"/>
        <w:jc w:val="center"/>
        <w:rPr>
          <w:rFonts w:ascii="Cambria" w:eastAsia="新細明體" w:hAnsi="Cambria" w:cs="Times New Roman"/>
          <w:b/>
          <w:kern w:val="0"/>
          <w:sz w:val="28"/>
          <w:szCs w:val="28"/>
        </w:rPr>
      </w:pPr>
      <w:r w:rsidRPr="00FB7857">
        <w:rPr>
          <w:rFonts w:ascii="Cambria" w:eastAsia="新細明體" w:hAnsi="Cambria" w:cs="Times New Roman"/>
          <w:b/>
          <w:kern w:val="0"/>
          <w:sz w:val="28"/>
          <w:szCs w:val="28"/>
        </w:rPr>
        <w:lastRenderedPageBreak/>
        <w:t>Appendix</w:t>
      </w:r>
    </w:p>
    <w:p w:rsidR="00F83A77" w:rsidRPr="00FB7857" w:rsidRDefault="00F83A77" w:rsidP="00F83A77">
      <w:pPr>
        <w:widowControl/>
        <w:spacing w:before="100" w:beforeAutospacing="1" w:after="100" w:afterAutospacing="1"/>
        <w:jc w:val="center"/>
        <w:rPr>
          <w:rFonts w:ascii="Cambria" w:eastAsia="新細明體" w:hAnsi="Cambria" w:cs="Times New Roman"/>
          <w:b/>
          <w:iCs/>
          <w:kern w:val="0"/>
          <w:szCs w:val="24"/>
        </w:rPr>
      </w:pPr>
      <w:r w:rsidRPr="00FB7857">
        <w:rPr>
          <w:rFonts w:ascii="Cambria" w:eastAsia="新細明體" w:hAnsi="Cambria" w:cs="Times New Roman"/>
          <w:b/>
          <w:kern w:val="0"/>
          <w:szCs w:val="24"/>
        </w:rPr>
        <w:t xml:space="preserve"> Countries Eligible for Participation </w:t>
      </w:r>
      <w:r w:rsidRPr="00FB7857">
        <w:rPr>
          <w:rFonts w:ascii="Cambria" w:eastAsia="新細明體" w:hAnsi="Cambria" w:cs="Times New Roman"/>
          <w:b/>
          <w:kern w:val="0"/>
          <w:szCs w:val="24"/>
        </w:rPr>
        <w:br/>
        <w:t xml:space="preserve">in the Ministry of Culture’s </w:t>
      </w:r>
      <w:r w:rsidR="00B51F1A" w:rsidRPr="00FB7857">
        <w:rPr>
          <w:rFonts w:ascii="Cambria" w:eastAsia="新細明體" w:hAnsi="Cambria" w:cs="Times New Roman"/>
          <w:b/>
          <w:iCs/>
          <w:kern w:val="0"/>
          <w:szCs w:val="24"/>
        </w:rPr>
        <w:t>Guidelines and Procedures</w:t>
      </w:r>
      <w:r w:rsidRPr="00FB7857">
        <w:rPr>
          <w:rFonts w:ascii="Cambria" w:eastAsia="新細明體" w:hAnsi="Cambria" w:cs="Times New Roman"/>
          <w:b/>
          <w:iCs/>
          <w:kern w:val="0"/>
          <w:szCs w:val="24"/>
        </w:rPr>
        <w:t xml:space="preserve"> </w:t>
      </w:r>
      <w:r w:rsidRPr="00FB7857">
        <w:rPr>
          <w:rFonts w:ascii="Cambria" w:eastAsia="新細明體" w:hAnsi="Cambria" w:cs="Times New Roman"/>
          <w:b/>
          <w:iCs/>
          <w:kern w:val="0"/>
          <w:szCs w:val="24"/>
        </w:rPr>
        <w:br/>
        <w:t xml:space="preserve">regarding Grants for Cultural Exchanges and Collaborative Projects </w:t>
      </w:r>
      <w:r w:rsidRPr="00FB7857">
        <w:rPr>
          <w:rFonts w:ascii="Cambria" w:eastAsia="新細明體" w:hAnsi="Cambria" w:cs="Times New Roman"/>
          <w:b/>
          <w:iCs/>
          <w:kern w:val="0"/>
          <w:szCs w:val="24"/>
        </w:rPr>
        <w:br/>
        <w:t>between Taiwan and Latin America</w:t>
      </w:r>
    </w:p>
    <w:tbl>
      <w:tblPr>
        <w:tblpPr w:leftFromText="180" w:rightFromText="180" w:vertAnchor="text" w:horzAnchor="margin" w:tblpY="186"/>
        <w:tblW w:w="0" w:type="auto"/>
        <w:tblBorders>
          <w:insideH w:val="single" w:sz="2" w:space="0" w:color="auto"/>
        </w:tblBorders>
        <w:tblLook w:val="04A0" w:firstRow="1" w:lastRow="0" w:firstColumn="1" w:lastColumn="0" w:noHBand="0" w:noVBand="1"/>
      </w:tblPr>
      <w:tblGrid>
        <w:gridCol w:w="4119"/>
      </w:tblGrid>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Antigua and Barbuda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Argentina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Bahamas</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Barbados</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Beli</w:t>
            </w:r>
            <w:r w:rsidR="008D5752">
              <w:rPr>
                <w:rFonts w:ascii="Cambria" w:eastAsia="標楷體" w:hAnsi="Cambria"/>
                <w:sz w:val="18"/>
                <w:szCs w:val="18"/>
                <w:lang w:val="es-ES_tradnl"/>
              </w:rPr>
              <w:t>z</w:t>
            </w:r>
            <w:r w:rsidRPr="00FB7857">
              <w:rPr>
                <w:rFonts w:ascii="Cambria" w:eastAsia="標楷體" w:hAnsi="Cambria"/>
                <w:sz w:val="18"/>
                <w:szCs w:val="18"/>
                <w:lang w:val="es-ES_tradnl"/>
              </w:rPr>
              <w:t>e</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Bolivia</w:t>
            </w:r>
          </w:p>
        </w:tc>
      </w:tr>
      <w:tr w:rsidR="008F62EE" w:rsidRPr="00FB7857" w:rsidTr="00AE2D86">
        <w:tc>
          <w:tcPr>
            <w:tcW w:w="4119" w:type="dxa"/>
            <w:shd w:val="clear" w:color="auto" w:fill="auto"/>
          </w:tcPr>
          <w:p w:rsidR="008F62EE" w:rsidRPr="00FB7857" w:rsidRDefault="00B0533F" w:rsidP="000531D4">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Bra</w:t>
            </w:r>
            <w:r>
              <w:rPr>
                <w:rFonts w:ascii="Cambria" w:eastAsia="標楷體" w:hAnsi="Cambria"/>
                <w:sz w:val="18"/>
                <w:szCs w:val="18"/>
                <w:lang w:val="es-ES_tradnl"/>
              </w:rPr>
              <w:t>z</w:t>
            </w:r>
            <w:r w:rsidRPr="00FB7857">
              <w:rPr>
                <w:rFonts w:ascii="Cambria" w:eastAsia="標楷體" w:hAnsi="Cambria"/>
                <w:sz w:val="18"/>
                <w:szCs w:val="18"/>
                <w:lang w:val="es-ES_tradnl"/>
              </w:rPr>
              <w:t>il</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Chile</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Colombia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Costa Rica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Cuba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Dominica</w:t>
            </w:r>
          </w:p>
        </w:tc>
      </w:tr>
      <w:tr w:rsidR="008F62EE" w:rsidRPr="00FB7857" w:rsidTr="00AE2D86">
        <w:tc>
          <w:tcPr>
            <w:tcW w:w="4119" w:type="dxa"/>
            <w:shd w:val="clear" w:color="auto" w:fill="auto"/>
          </w:tcPr>
          <w:p w:rsidR="008F62EE" w:rsidRPr="00FB7857" w:rsidRDefault="00B0533F" w:rsidP="00AE2D86">
            <w:pPr>
              <w:adjustRightInd w:val="0"/>
              <w:snapToGrid w:val="0"/>
              <w:spacing w:line="340" w:lineRule="exact"/>
              <w:rPr>
                <w:rFonts w:ascii="Cambria" w:eastAsia="標楷體" w:hAnsi="Cambria"/>
                <w:sz w:val="18"/>
                <w:szCs w:val="18"/>
                <w:lang w:val="es-ES_tradnl"/>
              </w:rPr>
            </w:pPr>
            <w:r>
              <w:rPr>
                <w:rFonts w:ascii="Cambria" w:eastAsia="標楷體" w:hAnsi="Cambria"/>
                <w:sz w:val="18"/>
                <w:szCs w:val="18"/>
                <w:lang w:val="es-ES_tradnl"/>
              </w:rPr>
              <w:t>Dominican Republic</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Ecuador</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El Salvador</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Granada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Guatemala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Guyana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Haití</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Honduras</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Jamaica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México</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Nicaragua</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Panamá</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Paraguay</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Perú</w:t>
            </w:r>
          </w:p>
        </w:tc>
      </w:tr>
      <w:tr w:rsidR="008F62EE" w:rsidRPr="00FB7857" w:rsidTr="00AE2D86">
        <w:tc>
          <w:tcPr>
            <w:tcW w:w="4119" w:type="dxa"/>
            <w:shd w:val="clear" w:color="auto" w:fill="auto"/>
          </w:tcPr>
          <w:p w:rsidR="008F62EE" w:rsidRPr="00FB7857" w:rsidRDefault="00B0533F" w:rsidP="00AE2D86">
            <w:pPr>
              <w:adjustRightInd w:val="0"/>
              <w:snapToGrid w:val="0"/>
              <w:spacing w:line="340" w:lineRule="exact"/>
              <w:rPr>
                <w:rFonts w:ascii="Cambria" w:eastAsia="標楷體" w:hAnsi="Cambria"/>
                <w:sz w:val="18"/>
                <w:szCs w:val="18"/>
                <w:lang w:val="es-ES_tradnl"/>
              </w:rPr>
            </w:pPr>
            <w:r w:rsidRPr="00B0533F">
              <w:rPr>
                <w:rFonts w:ascii="Cambria" w:eastAsia="標楷體" w:hAnsi="Cambria"/>
                <w:sz w:val="18"/>
                <w:szCs w:val="18"/>
                <w:lang w:val="es-ES_tradnl"/>
              </w:rPr>
              <w:t>Saint Kitts and Nevis</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Santa Lucía</w:t>
            </w:r>
          </w:p>
        </w:tc>
      </w:tr>
      <w:tr w:rsidR="008F62EE" w:rsidRPr="00FB7857" w:rsidTr="00AE2D86">
        <w:tc>
          <w:tcPr>
            <w:tcW w:w="4119" w:type="dxa"/>
            <w:shd w:val="clear" w:color="auto" w:fill="auto"/>
          </w:tcPr>
          <w:p w:rsidR="008F62EE" w:rsidRPr="00FB7857" w:rsidRDefault="00B0533F" w:rsidP="00AE2D86">
            <w:pPr>
              <w:adjustRightInd w:val="0"/>
              <w:snapToGrid w:val="0"/>
              <w:spacing w:line="340" w:lineRule="exact"/>
              <w:rPr>
                <w:rFonts w:ascii="Cambria" w:eastAsia="標楷體" w:hAnsi="Cambria"/>
                <w:sz w:val="18"/>
                <w:szCs w:val="18"/>
                <w:lang w:val="es-ES_tradnl"/>
              </w:rPr>
            </w:pPr>
            <w:r w:rsidRPr="00B0533F">
              <w:rPr>
                <w:rFonts w:ascii="Cambria" w:eastAsia="標楷體" w:hAnsi="Cambria"/>
                <w:sz w:val="18"/>
                <w:szCs w:val="18"/>
                <w:lang w:val="es-ES_tradnl"/>
              </w:rPr>
              <w:t>Saint Vincent and the Grenadines</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Surinam</w:t>
            </w:r>
          </w:p>
        </w:tc>
      </w:tr>
      <w:tr w:rsidR="008F62EE" w:rsidRPr="00FB7857" w:rsidTr="00AE2D86">
        <w:tc>
          <w:tcPr>
            <w:tcW w:w="4119" w:type="dxa"/>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 xml:space="preserve">Trinidad </w:t>
            </w:r>
            <w:r w:rsidR="00B0533F">
              <w:rPr>
                <w:rFonts w:ascii="Cambria" w:eastAsia="標楷體" w:hAnsi="Cambria"/>
                <w:sz w:val="18"/>
                <w:szCs w:val="18"/>
                <w:lang w:val="es-ES_tradnl"/>
              </w:rPr>
              <w:t>and</w:t>
            </w:r>
            <w:r w:rsidRPr="00FB7857">
              <w:rPr>
                <w:rFonts w:ascii="Cambria" w:eastAsia="標楷體" w:hAnsi="Cambria"/>
                <w:sz w:val="18"/>
                <w:szCs w:val="18"/>
                <w:lang w:val="es-ES_tradnl"/>
              </w:rPr>
              <w:t xml:space="preserve"> Tobago</w:t>
            </w:r>
          </w:p>
        </w:tc>
      </w:tr>
      <w:tr w:rsidR="008F62EE" w:rsidRPr="00FB7857" w:rsidTr="00AE2D86">
        <w:tc>
          <w:tcPr>
            <w:tcW w:w="4119" w:type="dxa"/>
            <w:tcBorders>
              <w:bottom w:val="single" w:sz="2" w:space="0" w:color="auto"/>
            </w:tcBorders>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Uruguay</w:t>
            </w:r>
          </w:p>
        </w:tc>
      </w:tr>
      <w:tr w:rsidR="008F62EE" w:rsidRPr="00FB7857" w:rsidTr="00AE2D86">
        <w:tc>
          <w:tcPr>
            <w:tcW w:w="4119" w:type="dxa"/>
            <w:tcBorders>
              <w:top w:val="single" w:sz="2" w:space="0" w:color="auto"/>
              <w:bottom w:val="single" w:sz="2" w:space="0" w:color="auto"/>
            </w:tcBorders>
            <w:shd w:val="clear" w:color="auto" w:fill="auto"/>
          </w:tcPr>
          <w:p w:rsidR="008F62EE" w:rsidRPr="00FB7857" w:rsidRDefault="008F62EE" w:rsidP="00AE2D86">
            <w:pPr>
              <w:adjustRightInd w:val="0"/>
              <w:snapToGrid w:val="0"/>
              <w:spacing w:line="340" w:lineRule="exact"/>
              <w:rPr>
                <w:rFonts w:ascii="Cambria" w:eastAsia="標楷體" w:hAnsi="Cambria"/>
                <w:sz w:val="18"/>
                <w:szCs w:val="18"/>
                <w:lang w:val="es-ES_tradnl"/>
              </w:rPr>
            </w:pPr>
            <w:r w:rsidRPr="00FB7857">
              <w:rPr>
                <w:rFonts w:ascii="Cambria" w:eastAsia="標楷體" w:hAnsi="Cambria"/>
                <w:sz w:val="18"/>
                <w:szCs w:val="18"/>
                <w:lang w:val="es-ES_tradnl"/>
              </w:rPr>
              <w:t>Venezuela</w:t>
            </w:r>
          </w:p>
        </w:tc>
      </w:tr>
    </w:tbl>
    <w:p w:rsidR="008F62EE" w:rsidRPr="00FB7857" w:rsidRDefault="008F62EE" w:rsidP="00F83A77">
      <w:pPr>
        <w:widowControl/>
        <w:spacing w:before="100" w:beforeAutospacing="1" w:after="100" w:afterAutospacing="1"/>
        <w:jc w:val="center"/>
        <w:rPr>
          <w:rFonts w:ascii="Cambria" w:eastAsia="新細明體" w:hAnsi="Cambria" w:cs="Times New Roman"/>
          <w:b/>
          <w:kern w:val="0"/>
          <w:szCs w:val="24"/>
        </w:rPr>
      </w:pPr>
    </w:p>
    <w:sectPr w:rsidR="008F62EE" w:rsidRPr="00FB7857" w:rsidSect="008F62EE">
      <w:footerReference w:type="default" r:id="rId10"/>
      <w:pgSz w:w="11906" w:h="16838"/>
      <w:pgMar w:top="1247"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EE" w:rsidRDefault="008777EE" w:rsidP="00373115">
      <w:r>
        <w:separator/>
      </w:r>
    </w:p>
  </w:endnote>
  <w:endnote w:type="continuationSeparator" w:id="0">
    <w:p w:rsidR="008777EE" w:rsidRDefault="008777EE" w:rsidP="0037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591693"/>
      <w:docPartObj>
        <w:docPartGallery w:val="Page Numbers (Bottom of Page)"/>
        <w:docPartUnique/>
      </w:docPartObj>
    </w:sdtPr>
    <w:sdtEndPr/>
    <w:sdtContent>
      <w:p w:rsidR="00613ADC" w:rsidRDefault="00613ADC">
        <w:pPr>
          <w:pStyle w:val="a5"/>
          <w:jc w:val="center"/>
        </w:pPr>
        <w:r>
          <w:fldChar w:fldCharType="begin"/>
        </w:r>
        <w:r>
          <w:instrText>PAGE   \* MERGEFORMAT</w:instrText>
        </w:r>
        <w:r>
          <w:fldChar w:fldCharType="separate"/>
        </w:r>
        <w:r w:rsidR="000531D4" w:rsidRPr="000531D4">
          <w:rPr>
            <w:noProof/>
            <w:lang w:val="zh-TW"/>
          </w:rPr>
          <w:t>4</w:t>
        </w:r>
        <w:r>
          <w:fldChar w:fldCharType="end"/>
        </w:r>
      </w:p>
    </w:sdtContent>
  </w:sdt>
  <w:p w:rsidR="00613ADC" w:rsidRDefault="00613A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EE" w:rsidRDefault="008777EE" w:rsidP="00373115">
      <w:r>
        <w:separator/>
      </w:r>
    </w:p>
  </w:footnote>
  <w:footnote w:type="continuationSeparator" w:id="0">
    <w:p w:rsidR="008777EE" w:rsidRDefault="008777EE" w:rsidP="00373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35A21"/>
    <w:multiLevelType w:val="multilevel"/>
    <w:tmpl w:val="CBCAC0A2"/>
    <w:lvl w:ilvl="0">
      <w:start w:val="1"/>
      <w:numFmt w:val="bullet"/>
      <w:lvlText w:val="○"/>
      <w:lvlJc w:val="left"/>
      <w:pPr>
        <w:tabs>
          <w:tab w:val="num" w:pos="720"/>
        </w:tabs>
        <w:ind w:left="720" w:hanging="360"/>
      </w:pPr>
      <w:rPr>
        <w:rFonts w:ascii="Cambria" w:hAnsi="Cambria"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461C4"/>
    <w:multiLevelType w:val="multilevel"/>
    <w:tmpl w:val="D1B24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E4"/>
    <w:rsid w:val="00020841"/>
    <w:rsid w:val="00026D6A"/>
    <w:rsid w:val="000420C1"/>
    <w:rsid w:val="000531D4"/>
    <w:rsid w:val="000757E8"/>
    <w:rsid w:val="000C105B"/>
    <w:rsid w:val="000F735E"/>
    <w:rsid w:val="00103120"/>
    <w:rsid w:val="0010586B"/>
    <w:rsid w:val="0011350D"/>
    <w:rsid w:val="001249D7"/>
    <w:rsid w:val="0014456B"/>
    <w:rsid w:val="001800A5"/>
    <w:rsid w:val="001837B7"/>
    <w:rsid w:val="001912D3"/>
    <w:rsid w:val="00196269"/>
    <w:rsid w:val="001966BC"/>
    <w:rsid w:val="001B1D25"/>
    <w:rsid w:val="001B7855"/>
    <w:rsid w:val="001E240A"/>
    <w:rsid w:val="00203E46"/>
    <w:rsid w:val="00212590"/>
    <w:rsid w:val="00231844"/>
    <w:rsid w:val="002434F4"/>
    <w:rsid w:val="00256E9B"/>
    <w:rsid w:val="00272751"/>
    <w:rsid w:val="002776E9"/>
    <w:rsid w:val="002B2A23"/>
    <w:rsid w:val="002C1B1A"/>
    <w:rsid w:val="002C2C79"/>
    <w:rsid w:val="002E5FCD"/>
    <w:rsid w:val="003039D6"/>
    <w:rsid w:val="0031537F"/>
    <w:rsid w:val="00341914"/>
    <w:rsid w:val="00361751"/>
    <w:rsid w:val="00373115"/>
    <w:rsid w:val="00377362"/>
    <w:rsid w:val="003A7738"/>
    <w:rsid w:val="00407AD4"/>
    <w:rsid w:val="00433CF7"/>
    <w:rsid w:val="004370B7"/>
    <w:rsid w:val="004445A5"/>
    <w:rsid w:val="00445D80"/>
    <w:rsid w:val="00451983"/>
    <w:rsid w:val="004603C2"/>
    <w:rsid w:val="004659F0"/>
    <w:rsid w:val="00477C89"/>
    <w:rsid w:val="00494204"/>
    <w:rsid w:val="004945A8"/>
    <w:rsid w:val="004A2084"/>
    <w:rsid w:val="004A2D36"/>
    <w:rsid w:val="004D12D9"/>
    <w:rsid w:val="00520976"/>
    <w:rsid w:val="00527465"/>
    <w:rsid w:val="005565AE"/>
    <w:rsid w:val="00557995"/>
    <w:rsid w:val="00574ED7"/>
    <w:rsid w:val="00580C61"/>
    <w:rsid w:val="005C209C"/>
    <w:rsid w:val="005C2861"/>
    <w:rsid w:val="005C6411"/>
    <w:rsid w:val="00613ADC"/>
    <w:rsid w:val="00614BD4"/>
    <w:rsid w:val="0062500F"/>
    <w:rsid w:val="0063654E"/>
    <w:rsid w:val="006707CA"/>
    <w:rsid w:val="006A7234"/>
    <w:rsid w:val="006B4AD5"/>
    <w:rsid w:val="006D1F07"/>
    <w:rsid w:val="006E3148"/>
    <w:rsid w:val="0075011B"/>
    <w:rsid w:val="007B33F5"/>
    <w:rsid w:val="007C77EB"/>
    <w:rsid w:val="007D0F57"/>
    <w:rsid w:val="007D611C"/>
    <w:rsid w:val="007E3AFA"/>
    <w:rsid w:val="007E60E1"/>
    <w:rsid w:val="0081758F"/>
    <w:rsid w:val="008461D8"/>
    <w:rsid w:val="00856CFD"/>
    <w:rsid w:val="00857EE4"/>
    <w:rsid w:val="00865FB4"/>
    <w:rsid w:val="008771CB"/>
    <w:rsid w:val="008777EE"/>
    <w:rsid w:val="00886C75"/>
    <w:rsid w:val="00890D69"/>
    <w:rsid w:val="008977CF"/>
    <w:rsid w:val="008B67F9"/>
    <w:rsid w:val="008D3AC9"/>
    <w:rsid w:val="008D5752"/>
    <w:rsid w:val="008F62EE"/>
    <w:rsid w:val="009416F7"/>
    <w:rsid w:val="00961259"/>
    <w:rsid w:val="00974916"/>
    <w:rsid w:val="009A2B1F"/>
    <w:rsid w:val="009C3D7B"/>
    <w:rsid w:val="009E44BE"/>
    <w:rsid w:val="009F2928"/>
    <w:rsid w:val="009F7AA5"/>
    <w:rsid w:val="00A05403"/>
    <w:rsid w:val="00A22CED"/>
    <w:rsid w:val="00A42A34"/>
    <w:rsid w:val="00A633AD"/>
    <w:rsid w:val="00A75529"/>
    <w:rsid w:val="00B0533F"/>
    <w:rsid w:val="00B10A5B"/>
    <w:rsid w:val="00B11CF3"/>
    <w:rsid w:val="00B228D6"/>
    <w:rsid w:val="00B34FC8"/>
    <w:rsid w:val="00B51F1A"/>
    <w:rsid w:val="00B534AD"/>
    <w:rsid w:val="00B63C31"/>
    <w:rsid w:val="00B9649C"/>
    <w:rsid w:val="00BC5268"/>
    <w:rsid w:val="00C03636"/>
    <w:rsid w:val="00C37F8D"/>
    <w:rsid w:val="00C41366"/>
    <w:rsid w:val="00C5677B"/>
    <w:rsid w:val="00C62148"/>
    <w:rsid w:val="00C81678"/>
    <w:rsid w:val="00C83D13"/>
    <w:rsid w:val="00CA00DE"/>
    <w:rsid w:val="00CA00ED"/>
    <w:rsid w:val="00CA0CB1"/>
    <w:rsid w:val="00CA731A"/>
    <w:rsid w:val="00CB3350"/>
    <w:rsid w:val="00CC6273"/>
    <w:rsid w:val="00CE6FFD"/>
    <w:rsid w:val="00CF5B03"/>
    <w:rsid w:val="00D07C89"/>
    <w:rsid w:val="00D30C55"/>
    <w:rsid w:val="00D41B8B"/>
    <w:rsid w:val="00D43DAD"/>
    <w:rsid w:val="00D516EA"/>
    <w:rsid w:val="00D52B8A"/>
    <w:rsid w:val="00D833A1"/>
    <w:rsid w:val="00D94EA9"/>
    <w:rsid w:val="00DB050D"/>
    <w:rsid w:val="00DB767F"/>
    <w:rsid w:val="00DC56A8"/>
    <w:rsid w:val="00DE627F"/>
    <w:rsid w:val="00DF3A5B"/>
    <w:rsid w:val="00E00020"/>
    <w:rsid w:val="00E06AA3"/>
    <w:rsid w:val="00E17899"/>
    <w:rsid w:val="00E23979"/>
    <w:rsid w:val="00E24F13"/>
    <w:rsid w:val="00E25010"/>
    <w:rsid w:val="00E30C32"/>
    <w:rsid w:val="00E31AD0"/>
    <w:rsid w:val="00E54399"/>
    <w:rsid w:val="00E64341"/>
    <w:rsid w:val="00E66B3D"/>
    <w:rsid w:val="00E66CEA"/>
    <w:rsid w:val="00E765A5"/>
    <w:rsid w:val="00E831DA"/>
    <w:rsid w:val="00E87083"/>
    <w:rsid w:val="00EA0501"/>
    <w:rsid w:val="00EE5660"/>
    <w:rsid w:val="00EE67C8"/>
    <w:rsid w:val="00EF6150"/>
    <w:rsid w:val="00EF7D70"/>
    <w:rsid w:val="00F03D63"/>
    <w:rsid w:val="00F2229C"/>
    <w:rsid w:val="00F52BF9"/>
    <w:rsid w:val="00F640DE"/>
    <w:rsid w:val="00F83A77"/>
    <w:rsid w:val="00FA4225"/>
    <w:rsid w:val="00FB3677"/>
    <w:rsid w:val="00FB3D5B"/>
    <w:rsid w:val="00FB6A63"/>
    <w:rsid w:val="00FB7857"/>
    <w:rsid w:val="00FC15D8"/>
    <w:rsid w:val="00FC558C"/>
    <w:rsid w:val="00FE7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8E0AD-B91C-4873-817C-62BAB4B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1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115"/>
    <w:pPr>
      <w:tabs>
        <w:tab w:val="center" w:pos="4153"/>
        <w:tab w:val="right" w:pos="8306"/>
      </w:tabs>
      <w:snapToGrid w:val="0"/>
    </w:pPr>
    <w:rPr>
      <w:sz w:val="20"/>
      <w:szCs w:val="20"/>
    </w:rPr>
  </w:style>
  <w:style w:type="character" w:customStyle="1" w:styleId="a4">
    <w:name w:val="頁首 字元"/>
    <w:basedOn w:val="a0"/>
    <w:link w:val="a3"/>
    <w:uiPriority w:val="99"/>
    <w:rsid w:val="00373115"/>
    <w:rPr>
      <w:sz w:val="20"/>
      <w:szCs w:val="20"/>
    </w:rPr>
  </w:style>
  <w:style w:type="paragraph" w:styleId="a5">
    <w:name w:val="footer"/>
    <w:basedOn w:val="a"/>
    <w:link w:val="a6"/>
    <w:uiPriority w:val="99"/>
    <w:unhideWhenUsed/>
    <w:rsid w:val="00373115"/>
    <w:pPr>
      <w:tabs>
        <w:tab w:val="center" w:pos="4153"/>
        <w:tab w:val="right" w:pos="8306"/>
      </w:tabs>
      <w:snapToGrid w:val="0"/>
    </w:pPr>
    <w:rPr>
      <w:sz w:val="20"/>
      <w:szCs w:val="20"/>
    </w:rPr>
  </w:style>
  <w:style w:type="character" w:customStyle="1" w:styleId="a6">
    <w:name w:val="頁尾 字元"/>
    <w:basedOn w:val="a0"/>
    <w:link w:val="a5"/>
    <w:uiPriority w:val="99"/>
    <w:rsid w:val="00373115"/>
    <w:rPr>
      <w:sz w:val="20"/>
      <w:szCs w:val="20"/>
    </w:rPr>
  </w:style>
  <w:style w:type="paragraph" w:styleId="a7">
    <w:name w:val="List Paragraph"/>
    <w:basedOn w:val="a"/>
    <w:uiPriority w:val="34"/>
    <w:qFormat/>
    <w:rsid w:val="00E23979"/>
    <w:pPr>
      <w:ind w:leftChars="200" w:left="480"/>
    </w:pPr>
  </w:style>
  <w:style w:type="character" w:customStyle="1" w:styleId="apple-converted-space">
    <w:name w:val="apple-converted-space"/>
    <w:basedOn w:val="a0"/>
    <w:rsid w:val="00A42A34"/>
  </w:style>
  <w:style w:type="character" w:styleId="a8">
    <w:name w:val="Emphasis"/>
    <w:basedOn w:val="a0"/>
    <w:uiPriority w:val="20"/>
    <w:qFormat/>
    <w:rsid w:val="00A42A34"/>
    <w:rPr>
      <w:i/>
      <w:iCs/>
    </w:rPr>
  </w:style>
  <w:style w:type="character" w:styleId="a9">
    <w:name w:val="Hyperlink"/>
    <w:basedOn w:val="a0"/>
    <w:uiPriority w:val="99"/>
    <w:unhideWhenUsed/>
    <w:rsid w:val="00CA00DE"/>
    <w:rPr>
      <w:color w:val="0563C1" w:themeColor="hyperlink"/>
      <w:u w:val="single"/>
    </w:rPr>
  </w:style>
  <w:style w:type="paragraph" w:styleId="aa">
    <w:name w:val="Balloon Text"/>
    <w:basedOn w:val="a"/>
    <w:link w:val="ab"/>
    <w:uiPriority w:val="99"/>
    <w:semiHidden/>
    <w:unhideWhenUsed/>
    <w:rsid w:val="000531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53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moc.gov.tw/Web/Normal.jsp?R=1&amp;P=2231&amp;B=17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nts.moc.gov.tw/Web/Normal.jsp?R=1&amp;P=2231&amp;B=174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384E-39FE-4E9A-AFC7-A96C06AC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2770</Words>
  <Characters>15791</Characters>
  <Application>Microsoft Office Word</Application>
  <DocSecurity>0</DocSecurity>
  <Lines>131</Lines>
  <Paragraphs>37</Paragraphs>
  <ScaleCrop>false</ScaleCrop>
  <Company/>
  <LinksUpToDate>false</LinksUpToDate>
  <CharactersWithSpaces>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apuser</cp:lastModifiedBy>
  <cp:revision>2</cp:revision>
  <dcterms:created xsi:type="dcterms:W3CDTF">2018-12-13T03:25:00Z</dcterms:created>
  <dcterms:modified xsi:type="dcterms:W3CDTF">2018-12-13T03:25:00Z</dcterms:modified>
</cp:coreProperties>
</file>