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A8" w:rsidRPr="0069512C" w:rsidRDefault="00CD194D" w:rsidP="0069512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9512C">
        <w:rPr>
          <w:rFonts w:ascii="標楷體" w:eastAsia="標楷體" w:hAnsi="標楷體" w:hint="eastAsia"/>
          <w:b/>
          <w:sz w:val="32"/>
          <w:szCs w:val="32"/>
        </w:rPr>
        <w:t>科技藝術</w:t>
      </w:r>
      <w:r w:rsidR="0069512C">
        <w:rPr>
          <w:rFonts w:ascii="標楷體" w:eastAsia="標楷體" w:hAnsi="標楷體" w:hint="eastAsia"/>
          <w:b/>
          <w:sz w:val="32"/>
          <w:szCs w:val="32"/>
        </w:rPr>
        <w:t>創作</w:t>
      </w:r>
      <w:r w:rsidRPr="0069512C">
        <w:rPr>
          <w:rFonts w:ascii="標楷體" w:eastAsia="標楷體" w:hAnsi="標楷體" w:hint="eastAsia"/>
          <w:b/>
          <w:sz w:val="32"/>
          <w:szCs w:val="32"/>
        </w:rPr>
        <w:t>設置基地說明</w:t>
      </w:r>
    </w:p>
    <w:p w:rsidR="00CD194D" w:rsidRDefault="00CD194D" w:rsidP="00CD194D">
      <w:pPr>
        <w:pStyle w:val="a3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>地點：</w:t>
      </w:r>
      <w:r w:rsidRPr="00CD194D">
        <w:rPr>
          <w:rFonts w:ascii="標楷體" w:eastAsia="標楷體" w:hAnsi="標楷體" w:cs="DFKaiShu-SB-Estd-BF" w:hint="eastAsia"/>
          <w:kern w:val="0"/>
          <w:szCs w:val="24"/>
        </w:rPr>
        <w:t>南科考古館</w:t>
      </w:r>
      <w:r>
        <w:rPr>
          <w:rFonts w:ascii="標楷體" w:eastAsia="標楷體" w:hAnsi="標楷體" w:cs="DFKaiShu-SB-Estd-BF" w:hint="eastAsia"/>
          <w:kern w:val="0"/>
          <w:szCs w:val="24"/>
        </w:rPr>
        <w:t>(台南市新市區南科三路10號)</w:t>
      </w:r>
    </w:p>
    <w:p w:rsidR="00CD194D" w:rsidRDefault="00CD194D" w:rsidP="007650D3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Lines="50" w:before="180" w:afterLines="50" w:after="180"/>
        <w:ind w:leftChars="0" w:left="482" w:hanging="482"/>
        <w:rPr>
          <w:rFonts w:ascii="標楷體" w:eastAsia="標楷體" w:hAnsi="標楷體" w:cs="DFKaiShu-SB-Estd-BF"/>
          <w:kern w:val="0"/>
          <w:szCs w:val="24"/>
        </w:rPr>
      </w:pPr>
      <w:r w:rsidRPr="00CD194D">
        <w:rPr>
          <w:rFonts w:ascii="標楷體" w:eastAsia="標楷體" w:hAnsi="標楷體" w:cs="DFKaiShu-SB-Estd-BF" w:hint="eastAsia"/>
          <w:kern w:val="0"/>
          <w:szCs w:val="24"/>
        </w:rPr>
        <w:t>基地說明：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650"/>
        <w:gridCol w:w="1978"/>
      </w:tblGrid>
      <w:tr w:rsidR="00C66F61" w:rsidTr="00204D1F">
        <w:tc>
          <w:tcPr>
            <w:tcW w:w="9628" w:type="dxa"/>
            <w:gridSpan w:val="2"/>
          </w:tcPr>
          <w:p w:rsidR="00C66F61" w:rsidRDefault="00C96C1F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(一)</w:t>
            </w:r>
            <w:r w:rsidR="00C66F61">
              <w:rPr>
                <w:rFonts w:ascii="標楷體" w:eastAsia="標楷體" w:hAnsi="標楷體" w:cs="DFKaiShu-SB-Estd-BF" w:hint="eastAsia"/>
                <w:kern w:val="0"/>
                <w:szCs w:val="24"/>
              </w:rPr>
              <w:t>南科考古館建築外觀</w:t>
            </w:r>
          </w:p>
        </w:tc>
      </w:tr>
      <w:tr w:rsidR="00C66F61" w:rsidTr="00204D1F">
        <w:tc>
          <w:tcPr>
            <w:tcW w:w="9628" w:type="dxa"/>
            <w:gridSpan w:val="2"/>
          </w:tcPr>
          <w:p w:rsidR="00C66F61" w:rsidRDefault="00C66F61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Cs w:val="24"/>
              </w:rPr>
              <w:drawing>
                <wp:inline distT="0" distB="0" distL="0" distR="0" wp14:anchorId="4F6D7AEB" wp14:editId="36117831">
                  <wp:extent cx="5986780" cy="28727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78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C1F" w:rsidTr="00204D1F">
        <w:tc>
          <w:tcPr>
            <w:tcW w:w="9628" w:type="dxa"/>
            <w:gridSpan w:val="2"/>
          </w:tcPr>
          <w:p w:rsidR="00C96C1F" w:rsidRPr="00C96C1F" w:rsidRDefault="00C96C1F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96C1F">
              <w:rPr>
                <w:rFonts w:ascii="標楷體" w:eastAsia="標楷體" w:hAnsi="標楷體" w:cs="DFKaiShu-SB-Estd-BF" w:hint="eastAsia"/>
                <w:kern w:val="0"/>
                <w:szCs w:val="24"/>
              </w:rPr>
              <w:t>南科考古館的主體建築外牆以乾掛石材、橫向紋飾為主要石材選擇，大廳入口、時空隧道、第四廳則以玻璃帷幕為主要外觀，文化層大牆及建築外觀的嵌縫處，以亮面深色花崗石質感，讓整體外觀呈現穩著，且極具對比性。整體外觀看似一石塊剖一刀，一玻璃管從中間穿過，隱含剖析、穿梭、交織、下探、滲透的概念；建築量體中交錯</w:t>
            </w:r>
            <w:r w:rsidRPr="00C96C1F">
              <w:rPr>
                <w:rFonts w:ascii="標楷體" w:eastAsia="標楷體" w:hAnsi="標楷體" w:cs="DFKaiShu-SB-Estd-BF"/>
                <w:kern w:val="0"/>
                <w:szCs w:val="24"/>
              </w:rPr>
              <w:t>19</w:t>
            </w:r>
            <w:r w:rsidRPr="00C96C1F">
              <w:rPr>
                <w:rFonts w:ascii="標楷體" w:eastAsia="標楷體" w:hAnsi="標楷體" w:cs="DFKaiShu-SB-Estd-BF" w:hint="eastAsia"/>
                <w:kern w:val="0"/>
                <w:szCs w:val="24"/>
              </w:rPr>
              <w:t>°角的軸線關係，一象徵過去的方位、一象徵現代都市的經緯關係，交織的軸線存在於外牆的分割縫隙中，也存在於博物館展示動線中，帶有時空交錯的趣味性。</w:t>
            </w:r>
          </w:p>
        </w:tc>
      </w:tr>
      <w:tr w:rsidR="00C66F61" w:rsidTr="00204D1F">
        <w:tc>
          <w:tcPr>
            <w:tcW w:w="9628" w:type="dxa"/>
            <w:gridSpan w:val="2"/>
          </w:tcPr>
          <w:p w:rsidR="00C66F61" w:rsidRDefault="00204D1F" w:rsidP="00DB794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(</w:t>
            </w:r>
            <w:r w:rsidR="00DB794D">
              <w:rPr>
                <w:rFonts w:ascii="標楷體" w:eastAsia="標楷體" w:hAnsi="標楷體" w:cs="DFKaiShu-SB-Estd-BF" w:hint="eastAsia"/>
                <w:kern w:val="0"/>
                <w:szCs w:val="24"/>
              </w:rPr>
              <w:t>二</w:t>
            </w:r>
            <w:bookmarkStart w:id="0" w:name="_GoBack"/>
            <w:bookmarkEnd w:id="0"/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)藝術創作品設置點</w:t>
            </w:r>
          </w:p>
        </w:tc>
      </w:tr>
      <w:tr w:rsidR="00204D1F" w:rsidTr="00204D1F">
        <w:tc>
          <w:tcPr>
            <w:tcW w:w="7650" w:type="dxa"/>
          </w:tcPr>
          <w:p w:rsidR="00C66F61" w:rsidRDefault="00C66F61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66F61">
              <w:rPr>
                <w:rFonts w:ascii="標楷體" w:eastAsia="標楷體" w:hAnsi="標楷體" w:cs="DFKaiShu-SB-Estd-BF"/>
                <w:noProof/>
                <w:kern w:val="0"/>
                <w:szCs w:val="24"/>
              </w:rPr>
              <w:drawing>
                <wp:inline distT="0" distB="0" distL="0" distR="0" wp14:anchorId="5B9B6D30" wp14:editId="74B8A8B2">
                  <wp:extent cx="4718649" cy="2078355"/>
                  <wp:effectExtent l="0" t="0" r="6350" b="0"/>
                  <wp:docPr id="3" name="圖片 3" descr="C:\Users\kaoliying\Desktop\新增資料夾\新增資料夾\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kaoliying\Desktop\新增資料夾\新增資料夾\DSC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475" cy="21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C66F61" w:rsidRDefault="00204D1F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黃色天井</w:t>
            </w:r>
            <w:r w:rsidR="004604E6">
              <w:rPr>
                <w:rFonts w:ascii="標楷體" w:eastAsia="標楷體" w:hAnsi="標楷體" w:cs="DFKaiShu-SB-Estd-BF" w:hint="eastAsia"/>
                <w:kern w:val="0"/>
                <w:szCs w:val="24"/>
              </w:rPr>
              <w:t>(戶外)</w:t>
            </w:r>
          </w:p>
          <w:p w:rsidR="007650D3" w:rsidRDefault="007650D3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面積：184</w:t>
            </w:r>
            <w:r>
              <w:t>㎡</w:t>
            </w:r>
          </w:p>
        </w:tc>
      </w:tr>
      <w:tr w:rsidR="00204D1F" w:rsidTr="00204D1F">
        <w:tc>
          <w:tcPr>
            <w:tcW w:w="7650" w:type="dxa"/>
          </w:tcPr>
          <w:p w:rsidR="00C66F61" w:rsidRDefault="00204D1F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204D1F">
              <w:rPr>
                <w:rFonts w:ascii="標楷體" w:eastAsia="標楷體" w:hAnsi="標楷體" w:cs="DFKaiShu-SB-Estd-BF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4615132" cy="2603173"/>
                  <wp:effectExtent l="0" t="0" r="0" b="6985"/>
                  <wp:docPr id="4" name="圖片 4" descr="C:\Users\kaoliying\Desktop\新增資料夾\新增資料夾\DSC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oliying\Desktop\新增資料夾\新增資料夾\DSC_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28" cy="26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C66F61" w:rsidRDefault="00204D1F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梯廳(2樓平台)</w:t>
            </w:r>
          </w:p>
          <w:p w:rsidR="000A20CB" w:rsidRDefault="000A20CB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面積：34.43</w:t>
            </w:r>
            <w:r w:rsidR="007650D3">
              <w:t>㎡</w:t>
            </w:r>
          </w:p>
        </w:tc>
      </w:tr>
      <w:tr w:rsidR="00204D1F" w:rsidTr="008C434E">
        <w:trPr>
          <w:trHeight w:val="4870"/>
        </w:trPr>
        <w:tc>
          <w:tcPr>
            <w:tcW w:w="7650" w:type="dxa"/>
          </w:tcPr>
          <w:p w:rsidR="00C66F61" w:rsidRDefault="00204D1F" w:rsidP="00204D1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Cs w:val="24"/>
              </w:rPr>
              <w:drawing>
                <wp:inline distT="0" distB="0" distL="0" distR="0">
                  <wp:extent cx="2910592" cy="1641585"/>
                  <wp:effectExtent l="5715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7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3754" cy="164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C66F61" w:rsidRDefault="00204D1F" w:rsidP="0069512C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展廳外迴廊</w:t>
            </w:r>
            <w:r w:rsidR="00E437F3">
              <w:rPr>
                <w:rFonts w:ascii="標楷體" w:eastAsia="標楷體" w:hAnsi="標楷體" w:cs="DFKaiShu-SB-Estd-BF" w:hint="eastAsia"/>
                <w:kern w:val="0"/>
                <w:szCs w:val="24"/>
              </w:rPr>
              <w:t>(北棟四樓至二樓)</w:t>
            </w:r>
          </w:p>
        </w:tc>
      </w:tr>
      <w:tr w:rsidR="00204D1F" w:rsidTr="00204D1F">
        <w:tc>
          <w:tcPr>
            <w:tcW w:w="7650" w:type="dxa"/>
          </w:tcPr>
          <w:p w:rsidR="008C434E" w:rsidRDefault="00204D1F" w:rsidP="008C434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Cs w:val="24"/>
              </w:rPr>
              <w:drawing>
                <wp:inline distT="0" distB="0" distL="0" distR="0">
                  <wp:extent cx="3027124" cy="1707309"/>
                  <wp:effectExtent l="0" t="6667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7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1270" cy="170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C66F61" w:rsidRDefault="00204D1F" w:rsidP="00204D1F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4樓</w:t>
            </w:r>
            <w:r w:rsidR="004604E6">
              <w:rPr>
                <w:rFonts w:ascii="標楷體" w:eastAsia="標楷體" w:hAnsi="標楷體" w:cs="DFKaiShu-SB-Estd-BF" w:hint="eastAsia"/>
                <w:kern w:val="0"/>
                <w:szCs w:val="24"/>
              </w:rPr>
              <w:t>行政區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走廊</w:t>
            </w:r>
            <w:r w:rsidR="007650D3">
              <w:rPr>
                <w:rFonts w:ascii="標楷體" w:eastAsia="標楷體" w:hAnsi="標楷體" w:cs="DFKaiShu-SB-Estd-BF" w:hint="eastAsia"/>
                <w:kern w:val="0"/>
                <w:szCs w:val="24"/>
              </w:rPr>
              <w:t>通道</w:t>
            </w:r>
          </w:p>
          <w:p w:rsidR="007650D3" w:rsidRDefault="007650D3" w:rsidP="00204D1F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面積：</w:t>
            </w:r>
            <w:r w:rsidR="008C434E">
              <w:rPr>
                <w:rFonts w:ascii="標楷體" w:eastAsia="標楷體" w:hAnsi="標楷體" w:cs="DFKaiShu-SB-Estd-BF" w:hint="eastAsia"/>
                <w:kern w:val="0"/>
                <w:szCs w:val="24"/>
              </w:rPr>
              <w:t>96</w:t>
            </w:r>
            <w:r w:rsidR="008C434E">
              <w:t>㎡</w:t>
            </w:r>
          </w:p>
        </w:tc>
      </w:tr>
    </w:tbl>
    <w:p w:rsidR="001A4CD8" w:rsidRPr="004604E6" w:rsidRDefault="001A4CD8" w:rsidP="00A83586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Lines="50" w:before="180" w:afterLines="50" w:after="180" w:line="400" w:lineRule="exact"/>
        <w:ind w:leftChars="0" w:left="482" w:hanging="482"/>
        <w:rPr>
          <w:rFonts w:ascii="標楷體" w:eastAsia="標楷體" w:hAnsi="標楷體" w:cs="DFKaiShu-SB-Estd-BF"/>
          <w:kern w:val="0"/>
          <w:szCs w:val="24"/>
        </w:rPr>
      </w:pPr>
      <w:r w:rsidRPr="004D11BF">
        <w:rPr>
          <w:rFonts w:ascii="標楷體" w:eastAsia="標楷體" w:hAnsi="標楷體" w:cs="DFKaiShu-SB-Estd-BF" w:hint="eastAsia"/>
          <w:kern w:val="0"/>
          <w:szCs w:val="24"/>
        </w:rPr>
        <w:lastRenderedPageBreak/>
        <w:t>自然與人文環境說明：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(一)</w:t>
      </w:r>
      <w:r w:rsidRPr="004D11BF">
        <w:rPr>
          <w:rFonts w:ascii="標楷體" w:eastAsia="標楷體" w:hAnsi="標楷體" w:cs="DFKaiShu-SB-Estd-BF" w:hint="eastAsia"/>
          <w:kern w:val="0"/>
          <w:szCs w:val="24"/>
        </w:rPr>
        <w:t>國立臺灣史前文化博館南科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考古</w:t>
      </w:r>
      <w:r w:rsidRPr="004D11BF">
        <w:rPr>
          <w:rFonts w:ascii="標楷體" w:eastAsia="標楷體" w:hAnsi="標楷體" w:cs="DFKaiShu-SB-Estd-BF" w:hint="eastAsia"/>
          <w:kern w:val="0"/>
          <w:szCs w:val="24"/>
        </w:rPr>
        <w:t>館（以下簡稱史前館南科館）基地位於南部科學工業園區台南園區內。南部科學工業園區（以下簡稱南科）範圍包括台南園區、高雄園區；台南園區位於台南市新市、善化及安定三區之間，面積</w:t>
      </w:r>
      <w:r w:rsidRPr="004D11BF">
        <w:rPr>
          <w:rFonts w:ascii="標楷體" w:eastAsia="標楷體" w:hAnsi="標楷體" w:cs="DFKaiShu-SB-Estd-BF"/>
          <w:kern w:val="0"/>
          <w:szCs w:val="24"/>
        </w:rPr>
        <w:t>1,043</w:t>
      </w:r>
      <w:r w:rsidRPr="004D11BF">
        <w:rPr>
          <w:rFonts w:ascii="標楷體" w:eastAsia="標楷體" w:hAnsi="標楷體" w:cs="DFKaiShu-SB-Estd-BF" w:hint="eastAsia"/>
          <w:kern w:val="0"/>
          <w:szCs w:val="24"/>
        </w:rPr>
        <w:t>公頃。台南位於臺灣西南平原之上，在漢人大量遷徙來臺之前是平埔族人的生活領域；而後近四百年來在歷經荷西、明鄭、清領等不同政權更迭下的台南，係臺灣最早開發的地區，因此向來有文化古都的美譽，清領時更有「一府二鹿三艋舺」中的首府稱號，台南府城昔日的繁榮景象由此可想而知，日後雖然隨著政治文化重心逐漸北移而失去首府地位，然而台南至今仍保有濃厚的歷史文化底蘊。</w:t>
      </w:r>
      <w:r w:rsidR="004D11BF" w:rsidRPr="004D11BF">
        <w:rPr>
          <w:rFonts w:ascii="標楷體" w:eastAsia="標楷體" w:hAnsi="標楷體" w:cs="DFKaiShu-SB-Estd-BF"/>
          <w:kern w:val="0"/>
          <w:szCs w:val="24"/>
        </w:rPr>
        <w:br/>
      </w:r>
      <w:r w:rsidR="004D11BF" w:rsidRPr="004D11BF">
        <w:rPr>
          <w:rFonts w:ascii="標楷體" w:eastAsia="標楷體" w:hAnsi="標楷體" w:cs="DFKaiShu-SB-Estd-BF" w:hint="eastAsia"/>
          <w:kern w:val="0"/>
          <w:szCs w:val="24"/>
        </w:rPr>
        <w:t>(二)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本案基地位於台南市的新市、善化及安定三區之間，根據文獻記載及陸續發掘的考古遺物、遺址，證實該地區早期屬於平埔族人西拉雅系的活動範圍，西拉雅人的生活型態為男性負責外出狩獵、打仗與防禦；女性則從事家務、採收果實與貝類採集。同時由出土文物顯示，西拉雅人除與漢人有貿易交流外，也可能在十七世紀時與荷蘭人有所接觸往來。在信仰方面，西拉雅人祭祀先祖「阿立祖」，祭祀的場所稱為「公廨」，早期是以各種外來的陶器，後期則包括使用青白瓷的安平壺等，做為「祀壺」習俗的道具之一。</w:t>
      </w:r>
      <w:r w:rsidR="004D11BF" w:rsidRPr="004D11BF">
        <w:rPr>
          <w:rFonts w:ascii="標楷體" w:eastAsia="標楷體" w:hAnsi="標楷體" w:cs="DFKaiShu-SB-Estd-BF"/>
          <w:kern w:val="0"/>
          <w:szCs w:val="24"/>
        </w:rPr>
        <w:br/>
      </w:r>
      <w:r w:rsidR="004D11BF" w:rsidRPr="004D11BF">
        <w:rPr>
          <w:rFonts w:ascii="標楷體" w:eastAsia="標楷體" w:hAnsi="標楷體" w:cs="DFKaiShu-SB-Estd-BF" w:hint="eastAsia"/>
          <w:kern w:val="0"/>
          <w:szCs w:val="24"/>
        </w:rPr>
        <w:t>(三)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以西拉雅族活動地理位置而言，其中新市區的社內村是西拉雅族新港社（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t>SincKan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）的所在地，新港社譯義為新開拓的平埔社，曾受荷藺人教化，並在社內建有學校功能的教堂，新港社同時也是最早和漢人接觸的平埔族，漢化程度相當深，新港社人和荷人、漢人雙方約契的對照文件後來整理編輯成著名的「新港文書」，是歷來研究西拉雅系平埔族語言和文化的重要文獻。至於善化區則是西拉雅族四大社中的目加溜灣社的故址，同時也是明末遺臣沈光文的興學之所，依照平埔族語目加溜灣社（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t>Back-Loan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）的譯義，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t>Backang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是指「宰殺」，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t>Loan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則是「牛」，因此目加溜灣社就是「宰牛茨」（俗寫作刣牛庴）之義，故至今善化區內仍有牛莊、牛墟的存在。安定區原名為直加弄（</w:t>
      </w:r>
      <w:r w:rsidR="00C96C1F" w:rsidRPr="004D11BF">
        <w:rPr>
          <w:rFonts w:ascii="標楷體" w:eastAsia="標楷體" w:hAnsi="標楷體" w:cs="DFKaiShu-SB-Estd-BF"/>
          <w:kern w:val="0"/>
          <w:szCs w:val="24"/>
        </w:rPr>
        <w:t>Tackalan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），亦屬西拉雅族平埔語，譯義為「乾草港」，在台江內海尚未形成陸地之前，直加弄是一魚港，後因曾文溪改道泥沙淤積填平後，日漸失去舟楫往來的魚港功能，而演變成廣闊旱田的農村，目前安定區附近仍留有海寮、西港、港口等地名，可見歷史遺留的痕跡。</w:t>
      </w:r>
      <w:r w:rsidR="004D11BF" w:rsidRPr="004D11BF">
        <w:rPr>
          <w:rFonts w:ascii="標楷體" w:eastAsia="標楷體" w:hAnsi="標楷體" w:cs="DFKaiShu-SB-Estd-BF"/>
          <w:kern w:val="0"/>
          <w:szCs w:val="24"/>
        </w:rPr>
        <w:br/>
      </w:r>
      <w:r w:rsidR="004D11BF" w:rsidRPr="004D11BF">
        <w:rPr>
          <w:rFonts w:ascii="標楷體" w:eastAsia="標楷體" w:hAnsi="標楷體" w:cs="DFKaiShu-SB-Estd-BF" w:hint="eastAsia"/>
          <w:kern w:val="0"/>
          <w:szCs w:val="24"/>
        </w:rPr>
        <w:t>(四)</w:t>
      </w:r>
      <w:r w:rsidR="00C96C1F" w:rsidRPr="004D11BF">
        <w:rPr>
          <w:rFonts w:ascii="標楷體" w:eastAsia="標楷體" w:hAnsi="標楷體" w:cs="DFKaiShu-SB-Estd-BF" w:hint="eastAsia"/>
          <w:kern w:val="0"/>
          <w:szCs w:val="24"/>
        </w:rPr>
        <w:t>本地同時是漢人較早進行開墾的地區之一，早在荷西時期即有漢人接受荷蘭政府召</w:t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募入墾，明鄭、清領時期陸續有漢人於台江內海登陸，沿著灣裡溪（古曾文渓）往內陸</w:t>
      </w:r>
      <w:r w:rsidR="007650D3" w:rsidRPr="007650D3">
        <w:rPr>
          <w:rFonts w:ascii="標楷體" w:eastAsia="標楷體" w:hAnsi="標楷體" w:cs="DFKaiShu-SB-Estd-BF" w:hint="eastAsia"/>
          <w:kern w:val="0"/>
          <w:szCs w:val="24"/>
        </w:rPr>
        <w:t xml:space="preserve">  </w:t>
      </w:r>
      <w:r w:rsidR="007650D3" w:rsidRPr="007650D3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尋找居住地，後逐漸在此定居發展，多半以同姓或同祖籍者共居，因而有蘇厝、林厝等</w:t>
      </w:r>
      <w:r w:rsidR="007650D3" w:rsidRPr="007650D3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聚落的形成；居民的生計也因台江內海的填平，由早期的魚港轉而發展農業，由於海埔</w:t>
      </w:r>
      <w:r w:rsidR="007650D3" w:rsidRPr="007650D3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新生地的稻米產值不高，當時的灌溉系統又不發達，轉而種植甘蔗，並形成日後產值較</w:t>
      </w:r>
      <w:r w:rsidR="007650D3" w:rsidRPr="007650D3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高的製糖業。日治時期，新式製糖興起，糖廠雖未設在本區，但此地仍是重要的製糖原</w:t>
      </w:r>
      <w:r w:rsidR="007650D3" w:rsidRPr="007650D3">
        <w:rPr>
          <w:rFonts w:ascii="標楷體" w:eastAsia="標楷體" w:hAnsi="標楷體" w:cs="DFKaiShu-SB-Estd-BF"/>
          <w:kern w:val="0"/>
          <w:szCs w:val="24"/>
        </w:rPr>
        <w:br/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料產地。民國時期，由於曾文水庫的落成，改善本地的農業發展，後經由農地重劃，對本地的農業發展更有助益；由日治時期至民國時期，本區的發展基本上維持傳統農村的</w:t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lastRenderedPageBreak/>
        <w:t>型態，直至民國</w:t>
      </w:r>
      <w:r w:rsidR="00C96C1F" w:rsidRPr="007650D3">
        <w:rPr>
          <w:rFonts w:ascii="標楷體" w:eastAsia="標楷體" w:hAnsi="標楷體" w:cs="DFKaiShu-SB-Estd-BF"/>
          <w:kern w:val="0"/>
          <w:szCs w:val="24"/>
        </w:rPr>
        <w:t>80</w:t>
      </w:r>
      <w:r w:rsidR="00C96C1F" w:rsidRPr="007650D3">
        <w:rPr>
          <w:rFonts w:ascii="標楷體" w:eastAsia="標楷體" w:hAnsi="標楷體" w:cs="DFKaiShu-SB-Estd-BF" w:hint="eastAsia"/>
          <w:kern w:val="0"/>
          <w:szCs w:val="24"/>
        </w:rPr>
        <w:t>年代南部科學工業園區的進駐。</w:t>
      </w:r>
      <w:r w:rsidR="007650D3">
        <w:rPr>
          <w:rFonts w:ascii="標楷體" w:eastAsia="標楷體" w:hAnsi="標楷體" w:cs="DFKaiShu-SB-Estd-BF"/>
          <w:kern w:val="0"/>
          <w:szCs w:val="24"/>
        </w:rPr>
        <w:br/>
      </w:r>
      <w:r w:rsidR="004604E6">
        <w:rPr>
          <w:rFonts w:ascii="標楷體" w:eastAsia="標楷體" w:hAnsi="標楷體" w:cs="DFKaiShu-SB-Estd-BF"/>
          <w:kern w:val="0"/>
          <w:szCs w:val="24"/>
        </w:rPr>
        <w:t>(</w:t>
      </w:r>
      <w:r w:rsidR="004604E6">
        <w:rPr>
          <w:rFonts w:ascii="標楷體" w:eastAsia="標楷體" w:hAnsi="標楷體" w:cs="DFKaiShu-SB-Estd-BF" w:hint="eastAsia"/>
          <w:kern w:val="0"/>
          <w:szCs w:val="24"/>
        </w:rPr>
        <w:t>五</w:t>
      </w:r>
      <w:r w:rsidR="004604E6" w:rsidRPr="004604E6">
        <w:rPr>
          <w:rFonts w:ascii="標楷體" w:eastAsia="標楷體" w:hAnsi="標楷體" w:cs="DFKaiShu-SB-Estd-BF"/>
          <w:kern w:val="0"/>
          <w:szCs w:val="24"/>
        </w:rPr>
        <w:t>)</w:t>
      </w:r>
      <w:r w:rsidR="00C96C1F" w:rsidRPr="004604E6">
        <w:rPr>
          <w:rFonts w:ascii="標楷體" w:eastAsia="標楷體" w:hAnsi="標楷體" w:cs="DFKaiShu-SB-Estd-BF" w:hint="eastAsia"/>
          <w:kern w:val="0"/>
          <w:szCs w:val="24"/>
        </w:rPr>
        <w:t>就地理位置而言，台南地處臺灣西南部，地勢東高西平，是臺灣最大平原嘉南平原的中心；東臨中央山脈的前山，西面臺灣海峽，北接嘉義，南與高雄為界；氣候方面因位於北回歸線以南，故屬亞熱帶氣候，農產甚豐，主要又以稻米、甘蔗等作物為主，其中水田、魚塭、鹽田、蓮田等面積均佔全國之冠。而本案基地的地理位置又在大台南地區的中心，腹地廣大平坦，原屬臺糖公司之道爺及善化農場，面積約</w:t>
      </w:r>
      <w:r w:rsidR="00C96C1F" w:rsidRPr="004604E6">
        <w:rPr>
          <w:rFonts w:ascii="標楷體" w:eastAsia="標楷體" w:hAnsi="標楷體" w:cs="DFKaiShu-SB-Estd-BF"/>
          <w:kern w:val="0"/>
          <w:szCs w:val="24"/>
        </w:rPr>
        <w:t>1,043</w:t>
      </w:r>
      <w:r w:rsidR="00C96C1F" w:rsidRPr="004604E6">
        <w:rPr>
          <w:rFonts w:ascii="標楷體" w:eastAsia="標楷體" w:hAnsi="標楷體" w:cs="DFKaiShu-SB-Estd-BF" w:hint="eastAsia"/>
          <w:kern w:val="0"/>
          <w:szCs w:val="24"/>
        </w:rPr>
        <w:t>公頃，雖然近臺灣西南海岸，但由於位在東北季風的背風處，因此反而形成冬天有明顯的乾季，加上臺灣海峽有黑潮支流（暖流）經過，洋面終年溫暖，因而使得本地幾乎屬於「無冬」的狀態，年溫差小，全年均溫偏高；夏季晴朗炎熱，容易出現午後雷陣雨，加上富含水汽的西南氣流進入，帶來豐沛的水量，也形成冬、夏有明顯的乾、雨季之分。鄰近地區有曾文水庫、關仔嶺、月世界等風景名勝，具瀉湖、海岸、森林、高山、溪流等豐富的自然景觀；另有億載金城、安平古堡、孔廟等古蹟及歷史建築，及別具特色的塩山、塩田、登山步道、百年古厝、寺廟教堂等多元化的人文景觀。</w:t>
      </w:r>
    </w:p>
    <w:p w:rsidR="008D19BC" w:rsidRDefault="008D19BC" w:rsidP="00A83586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Lines="50" w:before="180" w:afterLines="50" w:after="180" w:line="400" w:lineRule="exact"/>
        <w:ind w:leftChars="0" w:left="482" w:hanging="482"/>
        <w:rPr>
          <w:rFonts w:ascii="標楷體" w:eastAsia="標楷體" w:hAnsi="標楷體" w:cs="DFKaiShu-SB-Estd-BF"/>
          <w:kern w:val="0"/>
          <w:szCs w:val="24"/>
        </w:rPr>
      </w:pPr>
      <w:r w:rsidRPr="008D19BC">
        <w:rPr>
          <w:rFonts w:ascii="標楷體" w:eastAsia="標楷體" w:hAnsi="標楷體" w:cs="DFKaiShu-SB-Estd-BF" w:hint="eastAsia"/>
          <w:kern w:val="0"/>
          <w:szCs w:val="24"/>
        </w:rPr>
        <w:t>考古文化簡述：</w:t>
      </w:r>
    </w:p>
    <w:p w:rsidR="008D19BC" w:rsidRPr="008D19BC" w:rsidRDefault="008D19BC" w:rsidP="007650D3">
      <w:pPr>
        <w:pStyle w:val="a3"/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>(一)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考古學家從深厚的地層中挖掘出了大量的古代的遺物與遺跡，經過出土地層的順序</w:t>
      </w:r>
    </w:p>
    <w:p w:rsidR="001A4CD8" w:rsidRDefault="008D19BC" w:rsidP="007650D3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</w:t>
      </w:r>
      <w:r w:rsidR="007650D3">
        <w:rPr>
          <w:rFonts w:ascii="標楷體" w:eastAsia="標楷體" w:hAnsi="標楷體" w:cs="DFKaiShu-SB-Estd-BF"/>
          <w:kern w:val="0"/>
          <w:szCs w:val="24"/>
        </w:rPr>
        <w:t xml:space="preserve">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的比對、類型與風格的分析以及放射性碳</w:t>
      </w:r>
      <w:r w:rsidRPr="008D19BC">
        <w:rPr>
          <w:rFonts w:ascii="標楷體" w:eastAsia="標楷體" w:hAnsi="標楷體" w:cs="DFKaiShu-SB-Estd-BF"/>
          <w:kern w:val="0"/>
          <w:szCs w:val="24"/>
        </w:rPr>
        <w:t>14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的年代測定，可以辨識出來六個考古學文</w:t>
      </w:r>
      <w:r w:rsidR="004604E6">
        <w:rPr>
          <w:rFonts w:ascii="標楷體" w:eastAsia="標楷體" w:hAnsi="標楷體" w:cs="DFKaiShu-SB-Estd-BF" w:hint="eastAsia"/>
          <w:kern w:val="0"/>
          <w:szCs w:val="24"/>
        </w:rPr>
        <w:t xml:space="preserve">  </w:t>
      </w:r>
      <w:r w:rsidR="004604E6">
        <w:rPr>
          <w:rFonts w:ascii="標楷體" w:eastAsia="標楷體" w:hAnsi="標楷體" w:cs="DFKaiShu-SB-Estd-BF"/>
          <w:kern w:val="0"/>
          <w:szCs w:val="24"/>
        </w:rPr>
        <w:br/>
      </w:r>
      <w:r w:rsidR="004604E6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化，其年代範疇涵蓋距今</w:t>
      </w:r>
      <w:r w:rsidRPr="008D19BC">
        <w:rPr>
          <w:rFonts w:ascii="標楷體" w:eastAsia="標楷體" w:hAnsi="標楷體" w:cs="DFKaiShu-SB-Estd-BF"/>
          <w:kern w:val="0"/>
          <w:szCs w:val="24"/>
        </w:rPr>
        <w:t>5000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年前左右到</w:t>
      </w:r>
      <w:r w:rsidRPr="008D19BC">
        <w:rPr>
          <w:rFonts w:ascii="標楷體" w:eastAsia="標楷體" w:hAnsi="標楷體" w:cs="DFKaiShu-SB-Estd-BF"/>
          <w:kern w:val="0"/>
          <w:szCs w:val="24"/>
        </w:rPr>
        <w:t>300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年前。所謂考古學文化是指考古遺存中屬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於同一時代、分布於共同地區、具有相同特徵的文化共同體。換言之，一個考古學文化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以若干特定類型的居址、墓葬、器物風格及獨特的工藝技術為標誌，反映一個具有共同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文化傳統及行為模式的古代社會。也就是曾經先後有六個文化的人群在南科居住過，包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括距今</w:t>
      </w:r>
      <w:r w:rsidRPr="008D19BC">
        <w:rPr>
          <w:rFonts w:ascii="標楷體" w:eastAsia="標楷體" w:hAnsi="標楷體" w:cs="DFKaiShu-SB-Estd-BF"/>
          <w:kern w:val="0"/>
          <w:szCs w:val="24"/>
        </w:rPr>
        <w:t>5000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～</w:t>
      </w:r>
      <w:r w:rsidRPr="008D19BC">
        <w:rPr>
          <w:rFonts w:ascii="標楷體" w:eastAsia="標楷體" w:hAnsi="標楷體" w:cs="DFKaiShu-SB-Estd-BF"/>
          <w:kern w:val="0"/>
          <w:szCs w:val="24"/>
        </w:rPr>
        <w:t>4200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年前的大坌坑文化、</w:t>
      </w:r>
      <w:r w:rsidRPr="008D19BC">
        <w:rPr>
          <w:rFonts w:ascii="標楷體" w:eastAsia="標楷體" w:hAnsi="標楷體" w:cs="DFKaiShu-SB-Estd-BF"/>
          <w:kern w:val="0"/>
          <w:szCs w:val="24"/>
        </w:rPr>
        <w:t>3800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～</w:t>
      </w:r>
      <w:r w:rsidRPr="008D19BC">
        <w:rPr>
          <w:rFonts w:ascii="標楷體" w:eastAsia="標楷體" w:hAnsi="標楷體" w:cs="DFKaiShu-SB-Estd-BF"/>
          <w:kern w:val="0"/>
          <w:szCs w:val="24"/>
        </w:rPr>
        <w:t>3300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年前的牛稠子文化、</w:t>
      </w:r>
      <w:r w:rsidRPr="008D19BC">
        <w:rPr>
          <w:rFonts w:ascii="標楷體" w:eastAsia="標楷體" w:hAnsi="標楷體" w:cs="DFKaiShu-SB-Estd-BF"/>
          <w:kern w:val="0"/>
          <w:szCs w:val="24"/>
        </w:rPr>
        <w:t>3300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～</w:t>
      </w:r>
      <w:r w:rsidRPr="008D19BC">
        <w:rPr>
          <w:rFonts w:ascii="標楷體" w:eastAsia="標楷體" w:hAnsi="標楷體" w:cs="DFKaiShu-SB-Estd-BF"/>
          <w:kern w:val="0"/>
          <w:szCs w:val="24"/>
        </w:rPr>
        <w:t>1800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的大湖文化、</w:t>
      </w:r>
      <w:r w:rsidRPr="008D19BC">
        <w:rPr>
          <w:rFonts w:ascii="標楷體" w:eastAsia="標楷體" w:hAnsi="標楷體" w:cs="DFKaiShu-SB-Estd-BF"/>
          <w:kern w:val="0"/>
          <w:szCs w:val="24"/>
        </w:rPr>
        <w:t>1800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～</w:t>
      </w:r>
      <w:r w:rsidRPr="008D19BC">
        <w:rPr>
          <w:rFonts w:ascii="標楷體" w:eastAsia="標楷體" w:hAnsi="標楷體" w:cs="DFKaiShu-SB-Estd-BF"/>
          <w:kern w:val="0"/>
          <w:szCs w:val="24"/>
        </w:rPr>
        <w:t>500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年前的蔦松文化、</w:t>
      </w:r>
      <w:r w:rsidRPr="008D19BC">
        <w:rPr>
          <w:rFonts w:ascii="標楷體" w:eastAsia="標楷體" w:hAnsi="標楷體" w:cs="DFKaiShu-SB-Estd-BF"/>
          <w:kern w:val="0"/>
          <w:szCs w:val="24"/>
        </w:rPr>
        <w:t>500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～</w:t>
      </w:r>
      <w:r w:rsidRPr="008D19BC">
        <w:rPr>
          <w:rFonts w:ascii="標楷體" w:eastAsia="標楷體" w:hAnsi="標楷體" w:cs="DFKaiShu-SB-Estd-BF"/>
          <w:kern w:val="0"/>
          <w:szCs w:val="24"/>
        </w:rPr>
        <w:t>300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年前的西拉雅文化及明清之際來到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臺南地區的漢人文化。在這些文化當中，大湖文化及蔦松文化又可再依據文化內容的變</w:t>
      </w:r>
      <w:r w:rsidR="002952B8">
        <w:rPr>
          <w:rFonts w:ascii="標楷體" w:eastAsia="標楷體" w:hAnsi="標楷體" w:cs="DFKaiShu-SB-Estd-BF"/>
          <w:kern w:val="0"/>
          <w:szCs w:val="24"/>
        </w:rPr>
        <w:br/>
      </w:r>
      <w:r w:rsidR="002952B8"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8D19BC">
        <w:rPr>
          <w:rFonts w:ascii="標楷體" w:eastAsia="標楷體" w:hAnsi="標楷體" w:cs="DFKaiShu-SB-Estd-BF" w:hint="eastAsia"/>
          <w:kern w:val="0"/>
          <w:szCs w:val="24"/>
        </w:rPr>
        <w:t>遷，進一步區分為數個文化期。</w:t>
      </w:r>
    </w:p>
    <w:p w:rsidR="0005329D" w:rsidRPr="0005329D" w:rsidRDefault="0005329D" w:rsidP="0005329D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Cs w:val="24"/>
        </w:rPr>
      </w:pPr>
      <w:r w:rsidRPr="0005329D">
        <w:rPr>
          <w:rFonts w:ascii="標楷體" w:eastAsia="標楷體" w:hAnsi="標楷體" w:cs="DFKaiShu-SB-Estd-BF" w:hint="eastAsia"/>
          <w:kern w:val="0"/>
          <w:szCs w:val="24"/>
        </w:rPr>
        <w:t xml:space="preserve">    南科地層中所出土的這些考古文化，表現出內涵的多樣性及時空分布上的變異性，不僅</w:t>
      </w:r>
      <w:r>
        <w:rPr>
          <w:rFonts w:ascii="標楷體" w:eastAsia="標楷體" w:hAnsi="標楷體" w:cs="DFKaiShu-SB-Estd-BF"/>
          <w:kern w:val="0"/>
          <w:szCs w:val="24"/>
        </w:rPr>
        <w:br/>
      </w: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05329D">
        <w:rPr>
          <w:rFonts w:ascii="標楷體" w:eastAsia="標楷體" w:hAnsi="標楷體" w:cs="DFKaiShu-SB-Estd-BF" w:hint="eastAsia"/>
          <w:kern w:val="0"/>
          <w:szCs w:val="24"/>
        </w:rPr>
        <w:t>是為臺南地區的人類開發史提供了具體的資料，對於整個臺灣的史前史，甚而亞洲和太</w:t>
      </w:r>
      <w:r>
        <w:rPr>
          <w:rFonts w:ascii="標楷體" w:eastAsia="標楷體" w:hAnsi="標楷體" w:cs="DFKaiShu-SB-Estd-BF"/>
          <w:kern w:val="0"/>
          <w:szCs w:val="24"/>
        </w:rPr>
        <w:br/>
      </w:r>
      <w:r>
        <w:rPr>
          <w:rFonts w:ascii="標楷體" w:eastAsia="標楷體" w:hAnsi="標楷體" w:cs="DFKaiShu-SB-Estd-BF" w:hint="eastAsia"/>
          <w:kern w:val="0"/>
          <w:szCs w:val="24"/>
        </w:rPr>
        <w:t xml:space="preserve">    </w:t>
      </w:r>
      <w:r w:rsidRPr="0005329D">
        <w:rPr>
          <w:rFonts w:ascii="標楷體" w:eastAsia="標楷體" w:hAnsi="標楷體" w:cs="DFKaiShu-SB-Estd-BF" w:hint="eastAsia"/>
          <w:kern w:val="0"/>
          <w:szCs w:val="24"/>
        </w:rPr>
        <w:t>平洋地區的人類發展史，也提供了許多關鍵性的證據，而受到國內外學者的重視。</w:t>
      </w:r>
    </w:p>
    <w:p w:rsidR="00CD7952" w:rsidRDefault="001A4CD8" w:rsidP="008C434E">
      <w:pPr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kern w:val="0"/>
          <w:szCs w:val="24"/>
        </w:rPr>
      </w:pPr>
      <w:r>
        <w:rPr>
          <w:rFonts w:ascii="DFKaiShu-SB-Estd-BF" w:eastAsia="DFKaiShu-SB-Estd-BF" w:cs="DFKaiShu-SB-Estd-BF" w:hint="eastAsia"/>
          <w:noProof/>
          <w:kern w:val="0"/>
          <w:szCs w:val="24"/>
        </w:rPr>
        <w:lastRenderedPageBreak/>
        <w:drawing>
          <wp:inline distT="0" distB="0" distL="0" distR="0">
            <wp:extent cx="3667620" cy="2941608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20" cy="29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52" w:rsidRPr="009D0633" w:rsidRDefault="004604E6" w:rsidP="00A127E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    (二)</w:t>
      </w:r>
      <w:r w:rsidR="00CD7952" w:rsidRPr="009D0633">
        <w:rPr>
          <w:rFonts w:ascii="標楷體" w:eastAsia="標楷體" w:hAnsi="標楷體" w:cs="DFKaiShu-SB-Estd-BF" w:hint="eastAsia"/>
          <w:kern w:val="0"/>
          <w:szCs w:val="24"/>
        </w:rPr>
        <w:t>有關南科出土之代表性考古文物例舉如下：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D7952" w:rsidTr="00CD7952">
        <w:tc>
          <w:tcPr>
            <w:tcW w:w="4148" w:type="dxa"/>
          </w:tcPr>
          <w:p w:rsid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Cs w:val="24"/>
              </w:rPr>
            </w:pPr>
            <w:r>
              <w:object w:dxaOrig="5190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95pt;height:133.15pt" o:ole="">
                  <v:imagedata r:id="rId13" o:title=""/>
                </v:shape>
                <o:OLEObject Type="Embed" ProgID="PBrush" ShapeID="_x0000_i1025" DrawAspect="Content" ObjectID="_1614501613" r:id="rId14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繩紋鼓腹圜底罐：出土於南關里東遺址，屬於大坌坑文化時期常見器形，口緣、肩折有刻劃紋，體部有繩紋。</w:t>
            </w:r>
          </w:p>
        </w:tc>
      </w:tr>
      <w:tr w:rsidR="00CD7952" w:rsidTr="00CD7952">
        <w:tc>
          <w:tcPr>
            <w:tcW w:w="4148" w:type="dxa"/>
          </w:tcPr>
          <w:p w:rsidR="00CD7952" w:rsidRP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Cs w:val="24"/>
              </w:rPr>
            </w:pPr>
            <w:r>
              <w:object w:dxaOrig="4950" w:dyaOrig="3315">
                <v:shape id="_x0000_i1026" type="#_x0000_t75" style="width:179.3pt;height:120.25pt" o:ole="">
                  <v:imagedata r:id="rId15" o:title=""/>
                </v:shape>
                <o:OLEObject Type="Embed" ProgID="PBrush" ShapeID="_x0000_i1026" DrawAspect="Content" ObjectID="_1614501614" r:id="rId16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台灣第一狗遺骸：出土於南關里遺址，屬於大坌坑文化，型態完整，從身體擺放朝向南方與埋葬人體頭向相同來看，可能與人類有密切關係，是臺灣最早養狗的證據。</w:t>
            </w:r>
          </w:p>
        </w:tc>
      </w:tr>
      <w:tr w:rsidR="00CD7952" w:rsidTr="00CD7952">
        <w:tc>
          <w:tcPr>
            <w:tcW w:w="4148" w:type="dxa"/>
          </w:tcPr>
          <w:p w:rsid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Cs w:val="24"/>
              </w:rPr>
            </w:pPr>
            <w:r>
              <w:object w:dxaOrig="3465" w:dyaOrig="4530">
                <v:shape id="_x0000_i1027" type="#_x0000_t75" style="width:2in;height:188.15pt" o:ole="">
                  <v:imagedata r:id="rId17" o:title=""/>
                </v:shape>
                <o:OLEObject Type="Embed" ProgID="PBrush" ShapeID="_x0000_i1027" DrawAspect="Content" ObjectID="_1614501615" r:id="rId18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甕棺：出土於右先方遺址，右先方文化時期最具特色的大型甕棺，直口、束腹且圈足比例高，沒有相當的製作</w:t>
            </w:r>
          </w:p>
          <w:p w:rsid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DFKaiShu-SB-Estd-BF" w:eastAsia="DFKaiShu-SB-Estd-BF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與塑燒技術難以完成，主要用途為埋葬兒童的棺具。</w:t>
            </w:r>
          </w:p>
        </w:tc>
      </w:tr>
      <w:tr w:rsidR="00CD7952" w:rsidTr="00CD7952">
        <w:tc>
          <w:tcPr>
            <w:tcW w:w="4148" w:type="dxa"/>
          </w:tcPr>
          <w:p w:rsid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Cs w:val="24"/>
              </w:rPr>
            </w:pPr>
            <w:r>
              <w:object w:dxaOrig="3825" w:dyaOrig="4470">
                <v:shape id="_x0000_i1028" type="#_x0000_t75" style="width:135.85pt;height:158.25pt" o:ole="">
                  <v:imagedata r:id="rId19" o:title=""/>
                </v:shape>
                <o:OLEObject Type="Embed" ProgID="PBrush" ShapeID="_x0000_i1028" DrawAspect="Content" ObjectID="_1614501616" r:id="rId20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巴圖形石斧：出土於五間厝遺址，大湖文化時期最具特色的巴圖形石斧，巴圖（</w:t>
            </w:r>
            <w:r w:rsidRPr="00CD7952">
              <w:rPr>
                <w:rFonts w:ascii="標楷體" w:eastAsia="標楷體" w:hAnsi="標楷體" w:cs="DFKaiShu-SB-Estd-BF"/>
                <w:kern w:val="0"/>
                <w:szCs w:val="24"/>
              </w:rPr>
              <w:t>patu</w:t>
            </w: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）一詞源自於紐西蘭毛利</w:t>
            </w:r>
          </w:p>
          <w:p w:rsid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DFKaiShu-SB-Estd-BF" w:eastAsia="DFKaiShu-SB-Estd-BF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族，指匙形或槳形器物，作為武器或祭祀用具；但園區內出土的此類石斧，由其柄與刃部使用痕跡來看，可能為農作用具。</w:t>
            </w:r>
          </w:p>
        </w:tc>
      </w:tr>
      <w:tr w:rsidR="00CD7952" w:rsidTr="00CD7952">
        <w:tc>
          <w:tcPr>
            <w:tcW w:w="4148" w:type="dxa"/>
          </w:tcPr>
          <w:p w:rsidR="00CD7952" w:rsidRP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/>
              </w:rPr>
              <w:object w:dxaOrig="4410" w:dyaOrig="3060">
                <v:shape id="_x0000_i1029" type="#_x0000_t75" style="width:188.85pt;height:130.4pt" o:ole="">
                  <v:imagedata r:id="rId21" o:title=""/>
                </v:shape>
                <o:OLEObject Type="Embed" ProgID="PBrush" ShapeID="_x0000_i1029" DrawAspect="Content" ObjectID="_1614501617" r:id="rId22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玉管珠：出土於牛尿港遺址，大湖文化時期的玉管珠，玉質是採用臺灣東部的閃玉，管珠是使用雙面螺旋鑽孔</w:t>
            </w:r>
          </w:p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技法製作的整根穿孔玉管再截切小段而成。</w:t>
            </w:r>
          </w:p>
        </w:tc>
      </w:tr>
      <w:tr w:rsidR="00CD7952" w:rsidTr="00CD7952">
        <w:tc>
          <w:tcPr>
            <w:tcW w:w="4148" w:type="dxa"/>
          </w:tcPr>
          <w:p w:rsid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Cs w:val="24"/>
              </w:rPr>
            </w:pPr>
            <w:r>
              <w:object w:dxaOrig="4380" w:dyaOrig="3825">
                <v:shape id="_x0000_i1030" type="#_x0000_t75" style="width:160.3pt;height:140.6pt" o:ole="">
                  <v:imagedata r:id="rId23" o:title=""/>
                </v:shape>
                <o:OLEObject Type="Embed" ProgID="PBrush" ShapeID="_x0000_i1030" DrawAspect="Content" ObjectID="_1614501618" r:id="rId24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人面陶偶：出土於道爺遺址，人面陶塑是蔦松文化的特色之一，五官造型的立體感，搭配著面部神情，展現蔦</w:t>
            </w:r>
          </w:p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松人對於立體捏塑的成熟技藝。</w:t>
            </w:r>
          </w:p>
        </w:tc>
      </w:tr>
      <w:tr w:rsidR="00CD7952" w:rsidTr="00CD7952">
        <w:tc>
          <w:tcPr>
            <w:tcW w:w="4148" w:type="dxa"/>
          </w:tcPr>
          <w:p w:rsidR="00CD7952" w:rsidRPr="00CD7952" w:rsidRDefault="00CD7952" w:rsidP="005C10F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object w:dxaOrig="3690" w:dyaOrig="4860">
                <v:shape id="_x0000_i1031" type="#_x0000_t75" style="width:129.05pt;height:169.8pt" o:ole="">
                  <v:imagedata r:id="rId25" o:title=""/>
                </v:shape>
                <o:OLEObject Type="Embed" ProgID="PBrush" ShapeID="_x0000_i1031" DrawAspect="Content" ObjectID="_1614501619" r:id="rId26"/>
              </w:object>
            </w:r>
          </w:p>
        </w:tc>
        <w:tc>
          <w:tcPr>
            <w:tcW w:w="4148" w:type="dxa"/>
          </w:tcPr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鹿角刀柄：出土於五間厝遺址，蔦松文化時期的骨製飾品工藝因鐵器的使用而使紋飾更精緻，鹿角刀柄是截取</w:t>
            </w:r>
          </w:p>
          <w:p w:rsidR="00CD7952" w:rsidRPr="00CD7952" w:rsidRDefault="00CD7952" w:rsidP="007650D3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CD7952">
              <w:rPr>
                <w:rFonts w:ascii="標楷體" w:eastAsia="標楷體" w:hAnsi="標楷體" w:cs="DFKaiShu-SB-Estd-BF" w:hint="eastAsia"/>
                <w:kern w:val="0"/>
                <w:szCs w:val="24"/>
              </w:rPr>
              <w:t>鹿犄角分歧處，除幾何紋飾外，人面紋飾表現極為生動活潑。</w:t>
            </w:r>
          </w:p>
        </w:tc>
      </w:tr>
    </w:tbl>
    <w:p w:rsidR="00CD7952" w:rsidRDefault="00CD7952" w:rsidP="001A4CD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CD7952" w:rsidRDefault="00CD7952" w:rsidP="001A4CD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CD7952" w:rsidRDefault="00CD7952" w:rsidP="001A4CD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sectPr w:rsidR="00CD7952" w:rsidSect="00CD194D"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D9A" w:rsidRDefault="00DD5D9A" w:rsidP="00D057FF">
      <w:r>
        <w:separator/>
      </w:r>
    </w:p>
  </w:endnote>
  <w:endnote w:type="continuationSeparator" w:id="0">
    <w:p w:rsidR="00DD5D9A" w:rsidRDefault="00DD5D9A" w:rsidP="00D05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1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D9A" w:rsidRDefault="00DD5D9A" w:rsidP="00D057FF">
      <w:r>
        <w:separator/>
      </w:r>
    </w:p>
  </w:footnote>
  <w:footnote w:type="continuationSeparator" w:id="0">
    <w:p w:rsidR="00DD5D9A" w:rsidRDefault="00DD5D9A" w:rsidP="00D05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668E"/>
    <w:multiLevelType w:val="hybridMultilevel"/>
    <w:tmpl w:val="501007F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531707B"/>
    <w:multiLevelType w:val="hybridMultilevel"/>
    <w:tmpl w:val="AFEEC8D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D8"/>
    <w:rsid w:val="00043D68"/>
    <w:rsid w:val="0005329D"/>
    <w:rsid w:val="000A20CB"/>
    <w:rsid w:val="000E298B"/>
    <w:rsid w:val="001A4CD8"/>
    <w:rsid w:val="00204D1F"/>
    <w:rsid w:val="002952B8"/>
    <w:rsid w:val="003661B5"/>
    <w:rsid w:val="004604E6"/>
    <w:rsid w:val="004A4773"/>
    <w:rsid w:val="004D11BF"/>
    <w:rsid w:val="005C10FE"/>
    <w:rsid w:val="0069512C"/>
    <w:rsid w:val="007650D3"/>
    <w:rsid w:val="008057BF"/>
    <w:rsid w:val="008C434E"/>
    <w:rsid w:val="008D19BC"/>
    <w:rsid w:val="009D0633"/>
    <w:rsid w:val="009D625F"/>
    <w:rsid w:val="00A127E5"/>
    <w:rsid w:val="00A83586"/>
    <w:rsid w:val="00AB76D1"/>
    <w:rsid w:val="00BC2FA8"/>
    <w:rsid w:val="00C66F61"/>
    <w:rsid w:val="00C74A8A"/>
    <w:rsid w:val="00C96C1F"/>
    <w:rsid w:val="00CB2A58"/>
    <w:rsid w:val="00CD194D"/>
    <w:rsid w:val="00CD7952"/>
    <w:rsid w:val="00D057FF"/>
    <w:rsid w:val="00DB794D"/>
    <w:rsid w:val="00DD5D9A"/>
    <w:rsid w:val="00E437F3"/>
    <w:rsid w:val="00EA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320F70-E317-4DA6-B7BD-2009D93D6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CD8"/>
    <w:pPr>
      <w:ind w:leftChars="200" w:left="480"/>
    </w:pPr>
  </w:style>
  <w:style w:type="table" w:styleId="a4">
    <w:name w:val="Table Grid"/>
    <w:basedOn w:val="a1"/>
    <w:uiPriority w:val="39"/>
    <w:rsid w:val="00CD7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05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057F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05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057F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南科館-高麗英</dc:creator>
  <cp:keywords/>
  <dc:description/>
  <cp:lastModifiedBy>南科館-高麗英</cp:lastModifiedBy>
  <cp:revision>15</cp:revision>
  <cp:lastPrinted>2019-03-19T03:53:00Z</cp:lastPrinted>
  <dcterms:created xsi:type="dcterms:W3CDTF">2019-03-18T05:59:00Z</dcterms:created>
  <dcterms:modified xsi:type="dcterms:W3CDTF">2019-03-19T03:53:00Z</dcterms:modified>
</cp:coreProperties>
</file>