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EDE" w:rsidRPr="003658AE" w:rsidRDefault="00014EDE" w:rsidP="00014EDE">
      <w:pPr>
        <w:snapToGrid w:val="0"/>
        <w:spacing w:line="400" w:lineRule="exact"/>
        <w:jc w:val="center"/>
        <w:rPr>
          <w:rFonts w:ascii="標楷體" w:eastAsia="標楷體" w:hAnsi="標楷體"/>
          <w:b/>
          <w:sz w:val="28"/>
          <w:szCs w:val="28"/>
          <w:shd w:val="pct15" w:color="auto" w:fill="FFFFFF"/>
        </w:rPr>
      </w:pPr>
      <w:r w:rsidRPr="003658AE">
        <w:rPr>
          <w:rFonts w:ascii="標楷體" w:eastAsia="標楷體" w:hAnsi="標楷體" w:hint="eastAsia"/>
          <w:b/>
          <w:sz w:val="28"/>
          <w:szCs w:val="28"/>
        </w:rPr>
        <w:t>中華民國一百零九年度影視人才培訓補助要點</w:t>
      </w:r>
      <w:r w:rsidR="00A1491D" w:rsidRPr="003658AE">
        <w:rPr>
          <w:rFonts w:ascii="標楷體" w:eastAsia="標楷體" w:hAnsi="標楷體" w:hint="eastAsia"/>
          <w:b/>
          <w:sz w:val="28"/>
          <w:szCs w:val="28"/>
        </w:rPr>
        <w:t>部分規定</w:t>
      </w:r>
      <w:r w:rsidRPr="003658AE">
        <w:rPr>
          <w:rFonts w:ascii="標楷體" w:eastAsia="標楷體" w:hAnsi="標楷體" w:hint="eastAsia"/>
          <w:b/>
          <w:sz w:val="28"/>
          <w:szCs w:val="28"/>
        </w:rPr>
        <w:t>修正</w:t>
      </w:r>
      <w:r w:rsidR="00B11CA6">
        <w:rPr>
          <w:rFonts w:ascii="標楷體" w:eastAsia="標楷體" w:hAnsi="標楷體" w:hint="eastAsia"/>
          <w:b/>
          <w:sz w:val="28"/>
          <w:szCs w:val="28"/>
        </w:rPr>
        <w:t>規定</w:t>
      </w:r>
      <w:bookmarkStart w:id="0" w:name="_GoBack"/>
      <w:bookmarkEnd w:id="0"/>
    </w:p>
    <w:p w:rsidR="00014EDE" w:rsidRPr="003658AE" w:rsidRDefault="00014EDE" w:rsidP="00014EDE">
      <w:pPr>
        <w:snapToGrid w:val="0"/>
        <w:spacing w:line="400" w:lineRule="exact"/>
        <w:ind w:left="425" w:hangingChars="177" w:hanging="425"/>
        <w:jc w:val="both"/>
        <w:rPr>
          <w:rFonts w:ascii="標楷體" w:eastAsia="標楷體" w:hAnsi="標楷體"/>
          <w:shd w:val="pct15" w:color="auto" w:fill="FFFFFF"/>
        </w:rPr>
      </w:pPr>
    </w:p>
    <w:p w:rsidR="00014EDE" w:rsidRPr="003658AE" w:rsidRDefault="00B21B38" w:rsidP="00014EDE">
      <w:pPr>
        <w:snapToGrid w:val="0"/>
        <w:spacing w:line="400" w:lineRule="exact"/>
        <w:ind w:left="425" w:hangingChars="177" w:hanging="425"/>
        <w:jc w:val="both"/>
        <w:rPr>
          <w:rFonts w:ascii="標楷體" w:eastAsia="標楷體" w:hAnsi="標楷體"/>
        </w:rPr>
      </w:pPr>
      <w:r w:rsidRPr="003658AE">
        <w:rPr>
          <w:rFonts w:ascii="標楷體" w:eastAsia="標楷體" w:hAnsi="標楷體" w:hint="eastAsia"/>
        </w:rPr>
        <w:t>十、企畫</w:t>
      </w:r>
      <w:r w:rsidR="00014EDE" w:rsidRPr="003658AE">
        <w:rPr>
          <w:rFonts w:ascii="標楷體" w:eastAsia="標楷體" w:hAnsi="標楷體" w:hint="eastAsia"/>
        </w:rPr>
        <w:t>書之變更</w:t>
      </w:r>
    </w:p>
    <w:p w:rsidR="00014EDE" w:rsidRPr="003658AE" w:rsidRDefault="00B21B38" w:rsidP="00014EDE">
      <w:pPr>
        <w:numPr>
          <w:ilvl w:val="1"/>
          <w:numId w:val="5"/>
        </w:numPr>
        <w:snapToGrid w:val="0"/>
        <w:spacing w:line="400" w:lineRule="exact"/>
        <w:ind w:left="993" w:hanging="567"/>
        <w:jc w:val="both"/>
        <w:rPr>
          <w:rFonts w:ascii="標楷體" w:eastAsia="標楷體" w:hAnsi="標楷體"/>
        </w:rPr>
      </w:pPr>
      <w:r w:rsidRPr="003658AE">
        <w:rPr>
          <w:rFonts w:ascii="標楷體" w:eastAsia="標楷體" w:hAnsi="標楷體" w:hint="eastAsia"/>
        </w:rPr>
        <w:t>企畫</w:t>
      </w:r>
      <w:r w:rsidR="00014EDE" w:rsidRPr="003658AE">
        <w:rPr>
          <w:rFonts w:ascii="標楷體" w:eastAsia="標楷體" w:hAnsi="標楷體" w:hint="eastAsia"/>
        </w:rPr>
        <w:t>書有變更必要者，獲補助者應書面敘明理由向本局申請變更；其涉及培訓課程及師資變更者，應於事前以書面向本局申請變更，經本局同意後始得執行，但獲第二點第一項第四款之補助案，不在此限。企畫書之變更，以三次為限。</w:t>
      </w:r>
    </w:p>
    <w:p w:rsidR="00014EDE" w:rsidRPr="003658AE" w:rsidRDefault="00014EDE" w:rsidP="00014EDE">
      <w:pPr>
        <w:numPr>
          <w:ilvl w:val="1"/>
          <w:numId w:val="5"/>
        </w:numPr>
        <w:snapToGrid w:val="0"/>
        <w:spacing w:line="400" w:lineRule="exact"/>
        <w:ind w:left="993" w:hanging="567"/>
        <w:jc w:val="both"/>
        <w:rPr>
          <w:rFonts w:ascii="標楷體" w:eastAsia="標楷體" w:hAnsi="標楷體"/>
        </w:rPr>
      </w:pPr>
      <w:r w:rsidRPr="003658AE">
        <w:rPr>
          <w:rFonts w:ascii="標楷體" w:eastAsia="標楷體" w:hAnsi="標楷體" w:hint="eastAsia"/>
        </w:rPr>
        <w:t>因天然災害、緊急事故或其他不可歸責於獲補助者之事由致有變更必要者，獲補助者應於天然災害、緊急事故或其他不可歸責於獲補助者之事由發生日起三個月內檢附相關證明文件，向本局申請變更，不計入變更次數。</w:t>
      </w:r>
    </w:p>
    <w:p w:rsidR="00014EDE" w:rsidRPr="003658AE" w:rsidRDefault="00014EDE" w:rsidP="00014EDE">
      <w:pPr>
        <w:numPr>
          <w:ilvl w:val="1"/>
          <w:numId w:val="5"/>
        </w:numPr>
        <w:snapToGrid w:val="0"/>
        <w:spacing w:line="400" w:lineRule="exact"/>
        <w:ind w:left="993" w:hanging="567"/>
        <w:jc w:val="both"/>
        <w:rPr>
          <w:rFonts w:ascii="標楷體" w:eastAsia="標楷體" w:hAnsi="標楷體"/>
        </w:rPr>
      </w:pPr>
      <w:r w:rsidRPr="003658AE">
        <w:rPr>
          <w:rFonts w:ascii="標楷體" w:eastAsia="標楷體" w:hAnsi="標楷體" w:hint="eastAsia"/>
        </w:rPr>
        <w:t>前款所稱天然災害，指風災、水災、旱災、</w:t>
      </w:r>
      <w:proofErr w:type="gramStart"/>
      <w:r w:rsidRPr="003658AE">
        <w:rPr>
          <w:rFonts w:ascii="標楷體" w:eastAsia="標楷體" w:hAnsi="標楷體" w:hint="eastAsia"/>
        </w:rPr>
        <w:t>寒害</w:t>
      </w:r>
      <w:proofErr w:type="gramEnd"/>
      <w:r w:rsidRPr="003658AE">
        <w:rPr>
          <w:rFonts w:ascii="標楷體" w:eastAsia="標楷體" w:hAnsi="標楷體" w:hint="eastAsia"/>
        </w:rPr>
        <w:t>、其他特殊天氣之變化、地震、大火、海嘯、火山爆發等因素所造成之災害。所稱緊急事故，指動亂、戰爭、</w:t>
      </w:r>
      <w:proofErr w:type="gramStart"/>
      <w:r w:rsidRPr="003658AE">
        <w:rPr>
          <w:rFonts w:ascii="標楷體" w:eastAsia="標楷體" w:hAnsi="標楷體" w:hint="eastAsia"/>
        </w:rPr>
        <w:t>癘疫</w:t>
      </w:r>
      <w:proofErr w:type="gramEnd"/>
      <w:r w:rsidRPr="003658AE">
        <w:rPr>
          <w:rFonts w:ascii="標楷體" w:eastAsia="標楷體" w:hAnsi="標楷體" w:hint="eastAsia"/>
        </w:rPr>
        <w:t>、核子事故等。</w:t>
      </w:r>
    </w:p>
    <w:p w:rsidR="00014EDE" w:rsidRPr="003658AE" w:rsidRDefault="00B21B38" w:rsidP="00014EDE">
      <w:pPr>
        <w:numPr>
          <w:ilvl w:val="1"/>
          <w:numId w:val="5"/>
        </w:numPr>
        <w:snapToGrid w:val="0"/>
        <w:spacing w:line="400" w:lineRule="exact"/>
        <w:ind w:left="993" w:hanging="567"/>
        <w:jc w:val="both"/>
        <w:rPr>
          <w:rFonts w:ascii="標楷體" w:eastAsia="標楷體" w:hAnsi="標楷體"/>
        </w:rPr>
      </w:pPr>
      <w:r w:rsidRPr="003658AE">
        <w:rPr>
          <w:rFonts w:ascii="標楷體" w:eastAsia="標楷體" w:hAnsi="標楷體" w:hint="eastAsia"/>
        </w:rPr>
        <w:t>前揭變更涉執行</w:t>
      </w:r>
      <w:proofErr w:type="gramStart"/>
      <w:r w:rsidRPr="003658AE">
        <w:rPr>
          <w:rFonts w:ascii="標楷體" w:eastAsia="標楷體" w:hAnsi="標楷體" w:hint="eastAsia"/>
        </w:rPr>
        <w:t>期間展</w:t>
      </w:r>
      <w:proofErr w:type="gramEnd"/>
      <w:r w:rsidRPr="003658AE">
        <w:rPr>
          <w:rFonts w:ascii="標楷體" w:eastAsia="標楷體" w:hAnsi="標楷體" w:hint="eastAsia"/>
        </w:rPr>
        <w:t>延，並經本局同意者，</w:t>
      </w:r>
      <w:r w:rsidR="00014EDE" w:rsidRPr="003658AE">
        <w:rPr>
          <w:rFonts w:ascii="標楷體" w:eastAsia="標楷體" w:hAnsi="標楷體" w:hint="eastAsia"/>
        </w:rPr>
        <w:t>不受第六點第一款第二目第三小目及第二款第二目第二小目規定之限制。</w:t>
      </w:r>
    </w:p>
    <w:p w:rsidR="00014EDE" w:rsidRPr="003658AE" w:rsidRDefault="00014EDE" w:rsidP="00014EDE">
      <w:pPr>
        <w:snapToGrid w:val="0"/>
        <w:spacing w:line="400" w:lineRule="exact"/>
        <w:ind w:left="425" w:hangingChars="177" w:hanging="425"/>
        <w:jc w:val="both"/>
        <w:rPr>
          <w:rFonts w:ascii="標楷體" w:eastAsia="標楷體" w:hAnsi="標楷體"/>
        </w:rPr>
      </w:pPr>
      <w:r w:rsidRPr="003658AE">
        <w:rPr>
          <w:rFonts w:ascii="標楷體" w:eastAsia="標楷體" w:hAnsi="標楷體" w:hint="eastAsia"/>
        </w:rPr>
        <w:t>十一、獲補助者應履行之負擔規定</w:t>
      </w:r>
    </w:p>
    <w:p w:rsidR="00014EDE" w:rsidRPr="003658AE" w:rsidRDefault="00014EDE" w:rsidP="00014EDE">
      <w:pPr>
        <w:numPr>
          <w:ilvl w:val="0"/>
          <w:numId w:val="2"/>
        </w:numPr>
        <w:snapToGrid w:val="0"/>
        <w:spacing w:line="400" w:lineRule="exact"/>
        <w:ind w:left="993" w:hanging="568"/>
        <w:jc w:val="both"/>
        <w:rPr>
          <w:rFonts w:ascii="標楷體" w:eastAsia="標楷體" w:hAnsi="標楷體"/>
        </w:rPr>
      </w:pPr>
      <w:r w:rsidRPr="003658AE">
        <w:rPr>
          <w:rFonts w:ascii="標楷體" w:eastAsia="標楷體" w:hAnsi="標楷體" w:hint="eastAsia"/>
        </w:rPr>
        <w:t>不得以虛偽不實之文件或以不正當手段影響評審之公正性，獲得補助金資格，亦不得以虛偽不實之文件獲領補助金。</w:t>
      </w:r>
    </w:p>
    <w:p w:rsidR="00014EDE" w:rsidRPr="003658AE" w:rsidRDefault="00B21B38" w:rsidP="00014EDE">
      <w:pPr>
        <w:numPr>
          <w:ilvl w:val="0"/>
          <w:numId w:val="2"/>
        </w:numPr>
        <w:snapToGrid w:val="0"/>
        <w:spacing w:line="400" w:lineRule="exact"/>
        <w:ind w:left="993" w:hanging="568"/>
        <w:jc w:val="both"/>
        <w:rPr>
          <w:rFonts w:ascii="標楷體" w:eastAsia="標楷體" w:hAnsi="標楷體"/>
        </w:rPr>
      </w:pPr>
      <w:r w:rsidRPr="003658AE">
        <w:rPr>
          <w:rFonts w:ascii="標楷體" w:eastAsia="標楷體" w:hAnsi="標楷體" w:hint="eastAsia"/>
        </w:rPr>
        <w:t>獲補助者應依本局核定之</w:t>
      </w:r>
      <w:proofErr w:type="gramStart"/>
      <w:r w:rsidRPr="003658AE">
        <w:rPr>
          <w:rFonts w:ascii="標楷體" w:eastAsia="標楷體" w:hAnsi="標楷體" w:hint="eastAsia"/>
        </w:rPr>
        <w:t>補助案企畫</w:t>
      </w:r>
      <w:proofErr w:type="gramEnd"/>
      <w:r w:rsidRPr="003658AE">
        <w:rPr>
          <w:rFonts w:ascii="標楷體" w:eastAsia="標楷體" w:hAnsi="標楷體" w:hint="eastAsia"/>
        </w:rPr>
        <w:t>書內容確實執行；企畫</w:t>
      </w:r>
      <w:r w:rsidR="00014EDE" w:rsidRPr="003658AE">
        <w:rPr>
          <w:rFonts w:ascii="標楷體" w:eastAsia="標楷體" w:hAnsi="標楷體" w:hint="eastAsia"/>
        </w:rPr>
        <w:t>書有變更者，亦同</w:t>
      </w:r>
      <w:r w:rsidRPr="003658AE">
        <w:rPr>
          <w:rFonts w:ascii="標楷體" w:eastAsia="標楷體" w:hAnsi="標楷體" w:hint="eastAsia"/>
        </w:rPr>
        <w:t>，且企畫書之變更應符合第十點規定</w:t>
      </w:r>
      <w:r w:rsidR="00014EDE" w:rsidRPr="003658AE">
        <w:rPr>
          <w:rFonts w:ascii="標楷體" w:eastAsia="標楷體" w:hAnsi="標楷體" w:hint="eastAsia"/>
        </w:rPr>
        <w:t>。</w:t>
      </w:r>
    </w:p>
    <w:p w:rsidR="00014EDE" w:rsidRPr="003658AE" w:rsidRDefault="00014EDE" w:rsidP="00014EDE">
      <w:pPr>
        <w:numPr>
          <w:ilvl w:val="0"/>
          <w:numId w:val="2"/>
        </w:numPr>
        <w:snapToGrid w:val="0"/>
        <w:spacing w:line="400" w:lineRule="exact"/>
        <w:ind w:left="993" w:hanging="568"/>
        <w:jc w:val="both"/>
        <w:rPr>
          <w:rFonts w:ascii="標楷體" w:eastAsia="標楷體" w:hAnsi="標楷體"/>
        </w:rPr>
      </w:pPr>
      <w:r w:rsidRPr="003658AE">
        <w:rPr>
          <w:rFonts w:ascii="標楷體" w:eastAsia="標楷體" w:hAnsi="標楷體" w:hint="eastAsia"/>
        </w:rPr>
        <w:t>獲補助者應依第九點第一款、第二款規定之期限及本局指定之期限，檢附完整之文件、資料，向本局申請核撥及撥付補助金。</w:t>
      </w:r>
    </w:p>
    <w:p w:rsidR="00014EDE" w:rsidRPr="003658AE" w:rsidRDefault="00014EDE" w:rsidP="00014EDE">
      <w:pPr>
        <w:numPr>
          <w:ilvl w:val="0"/>
          <w:numId w:val="2"/>
        </w:numPr>
        <w:snapToGrid w:val="0"/>
        <w:spacing w:line="400" w:lineRule="exact"/>
        <w:ind w:left="993" w:hanging="568"/>
        <w:jc w:val="both"/>
        <w:rPr>
          <w:rFonts w:ascii="標楷體" w:eastAsia="標楷體" w:hAnsi="標楷體"/>
        </w:rPr>
      </w:pPr>
      <w:r w:rsidRPr="003658AE">
        <w:rPr>
          <w:rFonts w:ascii="標楷體" w:eastAsia="標楷體" w:hAnsi="標楷體"/>
        </w:rPr>
        <w:t>獲補助者不得將獲補助金</w:t>
      </w:r>
      <w:proofErr w:type="gramStart"/>
      <w:r w:rsidRPr="003658AE">
        <w:rPr>
          <w:rFonts w:ascii="標楷體" w:eastAsia="標楷體" w:hAnsi="標楷體"/>
        </w:rPr>
        <w:t>資格</w:t>
      </w:r>
      <w:r w:rsidRPr="003658AE">
        <w:rPr>
          <w:rFonts w:ascii="標楷體" w:eastAsia="標楷體" w:hAnsi="標楷體" w:hint="eastAsia"/>
        </w:rPr>
        <w:t>或企畫</w:t>
      </w:r>
      <w:proofErr w:type="gramEnd"/>
      <w:r w:rsidRPr="003658AE">
        <w:rPr>
          <w:rFonts w:ascii="標楷體" w:eastAsia="標楷體" w:hAnsi="標楷體" w:hint="eastAsia"/>
        </w:rPr>
        <w:t>書</w:t>
      </w:r>
      <w:r w:rsidRPr="003658AE">
        <w:rPr>
          <w:rFonts w:ascii="標楷體" w:eastAsia="標楷體" w:hAnsi="標楷體"/>
        </w:rPr>
        <w:t>轉讓</w:t>
      </w:r>
      <w:r w:rsidRPr="003658AE">
        <w:rPr>
          <w:rFonts w:ascii="標楷體" w:eastAsia="標楷體" w:hAnsi="標楷體" w:hint="eastAsia"/>
        </w:rPr>
        <w:t>予他人。</w:t>
      </w:r>
    </w:p>
    <w:p w:rsidR="00014EDE" w:rsidRPr="003658AE" w:rsidRDefault="00014EDE" w:rsidP="00014EDE">
      <w:pPr>
        <w:numPr>
          <w:ilvl w:val="0"/>
          <w:numId w:val="2"/>
        </w:numPr>
        <w:snapToGrid w:val="0"/>
        <w:spacing w:line="400" w:lineRule="exact"/>
        <w:ind w:left="993" w:hanging="568"/>
        <w:jc w:val="both"/>
        <w:rPr>
          <w:rFonts w:ascii="標楷體" w:eastAsia="標楷體" w:hAnsi="標楷體"/>
        </w:rPr>
      </w:pPr>
      <w:r w:rsidRPr="003658AE">
        <w:rPr>
          <w:rFonts w:ascii="標楷體" w:eastAsia="標楷體" w:hAnsi="標楷體" w:hint="eastAsia"/>
        </w:rPr>
        <w:t>法人或團體接受本局補助辦理採購，補助金額占採購金額半數以上，且補助金額在政府採購法所定公告金額以上者，適用政府採購法之規定，並應受本局之監督。藝文採購不適用前述規定，但受補助之法人或團體應受本局依法人或團體接受機關補助辦理藝文採購監督管理辦法監督，必要時應接受本局查核採購之品質、進度及其他事宜，並配合本局要求提供藝文採購之資訊或資料；</w:t>
      </w:r>
      <w:proofErr w:type="gramStart"/>
      <w:r w:rsidRPr="003658AE">
        <w:rPr>
          <w:rFonts w:ascii="標楷體" w:eastAsia="標楷體" w:hAnsi="標楷體" w:hint="eastAsia"/>
        </w:rPr>
        <w:t>且須無該</w:t>
      </w:r>
      <w:proofErr w:type="gramEnd"/>
      <w:r w:rsidRPr="003658AE">
        <w:rPr>
          <w:rFonts w:ascii="標楷體" w:eastAsia="標楷體" w:hAnsi="標楷體" w:hint="eastAsia"/>
        </w:rPr>
        <w:t>辦法第十二條第一項各款情形。</w:t>
      </w:r>
    </w:p>
    <w:p w:rsidR="00014EDE" w:rsidRPr="003658AE" w:rsidRDefault="00014EDE" w:rsidP="00014EDE">
      <w:pPr>
        <w:numPr>
          <w:ilvl w:val="0"/>
          <w:numId w:val="2"/>
        </w:numPr>
        <w:snapToGrid w:val="0"/>
        <w:spacing w:line="400" w:lineRule="exact"/>
        <w:ind w:left="993" w:hanging="568"/>
        <w:jc w:val="both"/>
        <w:rPr>
          <w:rFonts w:ascii="標楷體" w:eastAsia="標楷體" w:hAnsi="標楷體"/>
        </w:rPr>
      </w:pPr>
      <w:r w:rsidRPr="003658AE">
        <w:rPr>
          <w:rFonts w:ascii="標楷體" w:eastAsia="標楷體" w:hAnsi="標楷體" w:hint="eastAsia"/>
        </w:rPr>
        <w:t>獲</w:t>
      </w:r>
      <w:proofErr w:type="gramStart"/>
      <w:r w:rsidRPr="003658AE">
        <w:rPr>
          <w:rFonts w:ascii="標楷體" w:eastAsia="標楷體" w:hAnsi="標楷體" w:hint="eastAsia"/>
        </w:rPr>
        <w:t>補助者檢附</w:t>
      </w:r>
      <w:proofErr w:type="gramEnd"/>
      <w:r w:rsidRPr="003658AE">
        <w:rPr>
          <w:rFonts w:ascii="標楷體" w:eastAsia="標楷體" w:hAnsi="標楷體" w:hint="eastAsia"/>
        </w:rPr>
        <w:t>之企畫書內容及依</w:t>
      </w:r>
      <w:proofErr w:type="gramStart"/>
      <w:r w:rsidRPr="003658AE">
        <w:rPr>
          <w:rFonts w:ascii="標楷體" w:eastAsia="標楷體" w:hAnsi="標楷體" w:hint="eastAsia"/>
        </w:rPr>
        <w:t>補助案企畫</w:t>
      </w:r>
      <w:proofErr w:type="gramEnd"/>
      <w:r w:rsidRPr="003658AE">
        <w:rPr>
          <w:rFonts w:ascii="標楷體" w:eastAsia="標楷體" w:hAnsi="標楷體" w:hint="eastAsia"/>
        </w:rPr>
        <w:t>書所辦理之各項工作，</w:t>
      </w:r>
      <w:proofErr w:type="gramStart"/>
      <w:r w:rsidRPr="003658AE">
        <w:rPr>
          <w:rFonts w:ascii="標楷體" w:eastAsia="標楷體" w:hAnsi="標楷體" w:hint="eastAsia"/>
        </w:rPr>
        <w:t>均無侵害</w:t>
      </w:r>
      <w:proofErr w:type="gramEnd"/>
      <w:r w:rsidRPr="003658AE">
        <w:rPr>
          <w:rFonts w:ascii="標楷體" w:eastAsia="標楷體" w:hAnsi="標楷體" w:hint="eastAsia"/>
        </w:rPr>
        <w:t>他人權利或違反法律規定之情事。</w:t>
      </w:r>
    </w:p>
    <w:p w:rsidR="00014EDE" w:rsidRPr="003658AE" w:rsidRDefault="00014EDE" w:rsidP="00014EDE">
      <w:pPr>
        <w:numPr>
          <w:ilvl w:val="0"/>
          <w:numId w:val="2"/>
        </w:numPr>
        <w:snapToGrid w:val="0"/>
        <w:spacing w:line="400" w:lineRule="exact"/>
        <w:ind w:left="993" w:hanging="568"/>
        <w:jc w:val="both"/>
        <w:rPr>
          <w:rFonts w:ascii="標楷體" w:eastAsia="標楷體" w:hAnsi="標楷體"/>
        </w:rPr>
      </w:pPr>
      <w:r w:rsidRPr="003658AE">
        <w:rPr>
          <w:rFonts w:ascii="標楷體" w:eastAsia="標楷體" w:hAnsi="標楷體" w:cs="Arial" w:hint="eastAsia"/>
        </w:rPr>
        <w:t>獲第二點第一項第一款至第三款各類別補助者，應於本局撥付補助金次日起滿</w:t>
      </w:r>
      <w:proofErr w:type="gramStart"/>
      <w:r w:rsidRPr="003658AE">
        <w:rPr>
          <w:rFonts w:ascii="標楷體" w:eastAsia="標楷體" w:hAnsi="標楷體" w:cs="Arial" w:hint="eastAsia"/>
        </w:rPr>
        <w:t>一</w:t>
      </w:r>
      <w:proofErr w:type="gramEnd"/>
      <w:r w:rsidRPr="003658AE">
        <w:rPr>
          <w:rFonts w:ascii="標楷體" w:eastAsia="標楷體" w:hAnsi="標楷體" w:cs="Arial" w:hint="eastAsia"/>
        </w:rPr>
        <w:t>年後一個月內，將補助案後續成效追蹤報告交付本局。前開報告內容應包含本局核撥補助金次日起一年</w:t>
      </w:r>
      <w:proofErr w:type="gramStart"/>
      <w:r w:rsidRPr="003658AE">
        <w:rPr>
          <w:rFonts w:ascii="標楷體" w:eastAsia="標楷體" w:hAnsi="標楷體" w:cs="Arial" w:hint="eastAsia"/>
        </w:rPr>
        <w:t>期間，</w:t>
      </w:r>
      <w:proofErr w:type="gramEnd"/>
      <w:r w:rsidRPr="003658AE">
        <w:rPr>
          <w:rFonts w:ascii="標楷體" w:eastAsia="標楷體" w:hAnsi="標楷體" w:cs="Arial" w:hint="eastAsia"/>
        </w:rPr>
        <w:t>補助課程之檢討、培訓學員後續輔導及參與影視工作就業情形等。</w:t>
      </w:r>
    </w:p>
    <w:p w:rsidR="00014EDE" w:rsidRPr="003658AE" w:rsidRDefault="00014EDE" w:rsidP="00014EDE">
      <w:pPr>
        <w:numPr>
          <w:ilvl w:val="0"/>
          <w:numId w:val="2"/>
        </w:numPr>
        <w:snapToGrid w:val="0"/>
        <w:spacing w:line="400" w:lineRule="exact"/>
        <w:ind w:left="993" w:hanging="568"/>
        <w:jc w:val="both"/>
        <w:rPr>
          <w:rFonts w:ascii="標楷體" w:eastAsia="標楷體" w:hAnsi="標楷體"/>
        </w:rPr>
      </w:pPr>
      <w:r w:rsidRPr="003658AE">
        <w:rPr>
          <w:rFonts w:ascii="標楷體" w:eastAsia="標楷體" w:hAnsi="標楷體" w:hint="eastAsia"/>
        </w:rPr>
        <w:t>獲第二點第一項第一款至第三款各類別補助者，應於培訓案媒體宣傳、文</w:t>
      </w:r>
      <w:proofErr w:type="gramStart"/>
      <w:r w:rsidRPr="003658AE">
        <w:rPr>
          <w:rFonts w:ascii="標楷體" w:eastAsia="標楷體" w:hAnsi="標楷體" w:hint="eastAsia"/>
        </w:rPr>
        <w:t>宣載明本</w:t>
      </w:r>
      <w:proofErr w:type="gramEnd"/>
      <w:r w:rsidRPr="003658AE">
        <w:rPr>
          <w:rFonts w:ascii="標楷體" w:eastAsia="標楷體" w:hAnsi="標楷體" w:hint="eastAsia"/>
        </w:rPr>
        <w:t>局為指導單位。但獲補助者接獲本局核定附負擔補助行政處分函時，培訓課程已執</w:t>
      </w:r>
      <w:r w:rsidRPr="003658AE">
        <w:rPr>
          <w:rFonts w:ascii="標楷體" w:eastAsia="標楷體" w:hAnsi="標楷體" w:hint="eastAsia"/>
        </w:rPr>
        <w:lastRenderedPageBreak/>
        <w:t>行完畢者，不在此限。</w:t>
      </w:r>
    </w:p>
    <w:p w:rsidR="00014EDE" w:rsidRPr="003658AE" w:rsidRDefault="00014EDE" w:rsidP="00014EDE">
      <w:pPr>
        <w:numPr>
          <w:ilvl w:val="0"/>
          <w:numId w:val="2"/>
        </w:numPr>
        <w:snapToGrid w:val="0"/>
        <w:spacing w:line="400" w:lineRule="exact"/>
        <w:ind w:left="993" w:hanging="568"/>
        <w:jc w:val="both"/>
        <w:rPr>
          <w:rFonts w:ascii="標楷體" w:eastAsia="標楷體" w:hAnsi="標楷體"/>
        </w:rPr>
      </w:pPr>
      <w:r w:rsidRPr="003658AE">
        <w:rPr>
          <w:rFonts w:ascii="標楷體" w:eastAsia="標楷體" w:hAnsi="標楷體" w:hint="eastAsia"/>
        </w:rPr>
        <w:t>本局於獲補助案執行期間得派員實地查核，要求獲補助者提供書面資料或出席會議，並於會議中報告、說明，獲補助者不得規避、妨礙或拒絕；獲補助者並應依本局意見確實執行。</w:t>
      </w:r>
    </w:p>
    <w:p w:rsidR="00014EDE" w:rsidRPr="003658AE" w:rsidRDefault="00014EDE" w:rsidP="00014EDE">
      <w:pPr>
        <w:numPr>
          <w:ilvl w:val="0"/>
          <w:numId w:val="2"/>
        </w:numPr>
        <w:snapToGrid w:val="0"/>
        <w:spacing w:line="400" w:lineRule="exact"/>
        <w:ind w:left="993" w:hanging="568"/>
        <w:jc w:val="both"/>
        <w:rPr>
          <w:rFonts w:ascii="標楷體" w:eastAsia="標楷體" w:hAnsi="標楷體"/>
        </w:rPr>
      </w:pPr>
      <w:r w:rsidRPr="003658AE">
        <w:rPr>
          <w:rFonts w:ascii="標楷體" w:eastAsia="標楷體" w:hAnsi="標楷體" w:hint="eastAsia"/>
        </w:rPr>
        <w:t>獲補助者自接獲</w:t>
      </w:r>
      <w:proofErr w:type="gramStart"/>
      <w:r w:rsidRPr="003658AE">
        <w:rPr>
          <w:rFonts w:ascii="標楷體" w:eastAsia="標楷體" w:hAnsi="標楷體" w:hint="eastAsia"/>
        </w:rPr>
        <w:t>本局附負擔</w:t>
      </w:r>
      <w:proofErr w:type="gramEnd"/>
      <w:r w:rsidRPr="003658AE">
        <w:rPr>
          <w:rFonts w:ascii="標楷體" w:eastAsia="標楷體" w:hAnsi="標楷體" w:hint="eastAsia"/>
        </w:rPr>
        <w:t>補助行政處分函次日起至本局核撥補助金次日起</w:t>
      </w:r>
      <w:proofErr w:type="gramStart"/>
      <w:r w:rsidRPr="003658AE">
        <w:rPr>
          <w:rFonts w:ascii="標楷體" w:eastAsia="標楷體" w:hAnsi="標楷體" w:hint="eastAsia"/>
        </w:rPr>
        <w:t>一</w:t>
      </w:r>
      <w:proofErr w:type="gramEnd"/>
      <w:r w:rsidRPr="003658AE">
        <w:rPr>
          <w:rFonts w:ascii="標楷體" w:eastAsia="標楷體" w:hAnsi="標楷體" w:hint="eastAsia"/>
        </w:rPr>
        <w:t>年內，應令本局指定之獲補助案總導師、培訓學員，依本局指定之身分、任務(例如擔任嘉賓、講座、經驗分享)，出席本局指定之活動或課程，其次數以三次為限。</w:t>
      </w:r>
    </w:p>
    <w:p w:rsidR="00014EDE" w:rsidRPr="003658AE" w:rsidRDefault="00014EDE" w:rsidP="00014EDE">
      <w:pPr>
        <w:numPr>
          <w:ilvl w:val="0"/>
          <w:numId w:val="2"/>
        </w:numPr>
        <w:snapToGrid w:val="0"/>
        <w:spacing w:line="400" w:lineRule="exact"/>
        <w:ind w:left="993" w:hanging="568"/>
        <w:jc w:val="both"/>
        <w:rPr>
          <w:rFonts w:ascii="標楷體" w:eastAsia="標楷體" w:hAnsi="標楷體"/>
        </w:rPr>
      </w:pPr>
      <w:r w:rsidRPr="003658AE">
        <w:rPr>
          <w:rFonts w:ascii="標楷體" w:eastAsia="標楷體" w:hAnsi="標楷體" w:hint="eastAsia"/>
        </w:rPr>
        <w:t>獲補助者規劃相關宣傳活動、文宣及媒體露出時，如涉及政策宣導，不得違反預算法第六十二條之</w:t>
      </w:r>
      <w:proofErr w:type="gramStart"/>
      <w:r w:rsidRPr="003658AE">
        <w:rPr>
          <w:rFonts w:ascii="標楷體" w:eastAsia="標楷體" w:hAnsi="標楷體" w:hint="eastAsia"/>
        </w:rPr>
        <w:t>一</w:t>
      </w:r>
      <w:proofErr w:type="gramEnd"/>
      <w:r w:rsidRPr="003658AE">
        <w:rPr>
          <w:rFonts w:ascii="標楷體" w:eastAsia="標楷體" w:hAnsi="標楷體" w:hint="eastAsia"/>
        </w:rPr>
        <w:t>規定，並應標示為「廣告」。</w:t>
      </w:r>
    </w:p>
    <w:p w:rsidR="00014EDE" w:rsidRPr="003658AE" w:rsidRDefault="00014EDE" w:rsidP="00014EDE">
      <w:pPr>
        <w:numPr>
          <w:ilvl w:val="0"/>
          <w:numId w:val="2"/>
        </w:numPr>
        <w:snapToGrid w:val="0"/>
        <w:spacing w:line="400" w:lineRule="exact"/>
        <w:ind w:left="993" w:hanging="568"/>
        <w:jc w:val="both"/>
        <w:rPr>
          <w:rFonts w:ascii="標楷體" w:eastAsia="標楷體" w:hAnsi="標楷體"/>
        </w:rPr>
      </w:pPr>
      <w:r w:rsidRPr="003658AE">
        <w:rPr>
          <w:rFonts w:ascii="標楷體" w:eastAsia="標楷體" w:hAnsi="標楷體" w:hint="eastAsia"/>
        </w:rPr>
        <w:t>獲補助案結案時如有結餘款，獲補助者應將</w:t>
      </w:r>
      <w:proofErr w:type="gramStart"/>
      <w:r w:rsidRPr="003658AE">
        <w:rPr>
          <w:rFonts w:ascii="標楷體" w:eastAsia="標楷體" w:hAnsi="標楷體" w:hint="eastAsia"/>
        </w:rPr>
        <w:t>結餘款按本</w:t>
      </w:r>
      <w:proofErr w:type="gramEnd"/>
      <w:r w:rsidRPr="003658AE">
        <w:rPr>
          <w:rFonts w:ascii="標楷體" w:eastAsia="標楷體" w:hAnsi="標楷體" w:hint="eastAsia"/>
        </w:rPr>
        <w:t>局原核定之補助比率繳回本局。</w:t>
      </w:r>
    </w:p>
    <w:p w:rsidR="00014EDE" w:rsidRPr="003658AE" w:rsidRDefault="00014EDE" w:rsidP="00014EDE">
      <w:pPr>
        <w:snapToGrid w:val="0"/>
        <w:spacing w:line="400" w:lineRule="exact"/>
        <w:ind w:left="708" w:hangingChars="295" w:hanging="708"/>
        <w:jc w:val="both"/>
        <w:rPr>
          <w:rFonts w:ascii="標楷體" w:eastAsia="標楷體" w:hAnsi="標楷體"/>
        </w:rPr>
      </w:pPr>
      <w:r w:rsidRPr="003658AE">
        <w:rPr>
          <w:rFonts w:ascii="標楷體" w:eastAsia="標楷體" w:hAnsi="標楷體" w:hint="eastAsia"/>
        </w:rPr>
        <w:t>十二、獲補助者違反負擔規定之處置</w:t>
      </w:r>
    </w:p>
    <w:p w:rsidR="00014EDE" w:rsidRPr="003658AE" w:rsidRDefault="00014EDE" w:rsidP="00014EDE">
      <w:pPr>
        <w:numPr>
          <w:ilvl w:val="0"/>
          <w:numId w:val="3"/>
        </w:numPr>
        <w:snapToGrid w:val="0"/>
        <w:spacing w:line="400" w:lineRule="exact"/>
        <w:ind w:left="993" w:hanging="568"/>
        <w:jc w:val="both"/>
        <w:rPr>
          <w:rFonts w:ascii="標楷體" w:eastAsia="標楷體" w:hAnsi="標楷體"/>
        </w:rPr>
      </w:pPr>
      <w:r w:rsidRPr="003658AE">
        <w:rPr>
          <w:rFonts w:ascii="標楷體" w:eastAsia="標楷體" w:hAnsi="標楷體" w:hint="eastAsia"/>
        </w:rPr>
        <w:t>違反前點第一款規定者，本局應撤銷或廢止其全部補助金受領資格，不支付補助金及其他任何名目之補償、賠償，補助金已獲核撥者，並應於本局指定期限內</w:t>
      </w:r>
      <w:proofErr w:type="gramStart"/>
      <w:r w:rsidRPr="003658AE">
        <w:rPr>
          <w:rFonts w:ascii="標楷體" w:eastAsia="標楷體" w:hAnsi="標楷體" w:hint="eastAsia"/>
        </w:rPr>
        <w:t>無息繳回</w:t>
      </w:r>
      <w:proofErr w:type="gramEnd"/>
      <w:r w:rsidRPr="003658AE">
        <w:rPr>
          <w:rFonts w:ascii="標楷體" w:eastAsia="標楷體" w:hAnsi="標楷體" w:hint="eastAsia"/>
        </w:rPr>
        <w:t>；被撤銷或廢止全部補助金受領資格者，自被撤銷或廢止全部補助金受領資格之年度起二年內，不得再申請本局各年度影視人才培訓補助；溢領之補助金未完全繳回本局前，亦不得再申請本局任何補助。</w:t>
      </w:r>
    </w:p>
    <w:p w:rsidR="00014EDE" w:rsidRPr="003658AE" w:rsidRDefault="00014EDE" w:rsidP="00014EDE">
      <w:pPr>
        <w:numPr>
          <w:ilvl w:val="0"/>
          <w:numId w:val="3"/>
        </w:numPr>
        <w:snapToGrid w:val="0"/>
        <w:spacing w:line="400" w:lineRule="exact"/>
        <w:ind w:left="993" w:hanging="568"/>
        <w:jc w:val="both"/>
        <w:rPr>
          <w:rFonts w:ascii="標楷體" w:eastAsia="標楷體" w:hAnsi="標楷體"/>
        </w:rPr>
      </w:pPr>
      <w:r w:rsidRPr="003658AE">
        <w:rPr>
          <w:rFonts w:ascii="標楷體" w:eastAsia="標楷體" w:hAnsi="標楷體" w:hint="eastAsia"/>
        </w:rPr>
        <w:t>獲補助者有下列情形之一，本局應廢止其全部補助金受領資格，不支付補助金及其他任何名目之補償、賠償，補助金已獲核撥者，並應於本局指定期限內</w:t>
      </w:r>
      <w:proofErr w:type="gramStart"/>
      <w:r w:rsidRPr="003658AE">
        <w:rPr>
          <w:rFonts w:ascii="標楷體" w:eastAsia="標楷體" w:hAnsi="標楷體" w:hint="eastAsia"/>
        </w:rPr>
        <w:t>無息繳回</w:t>
      </w:r>
      <w:proofErr w:type="gramEnd"/>
      <w:r w:rsidRPr="003658AE">
        <w:rPr>
          <w:rFonts w:ascii="標楷體" w:eastAsia="標楷體" w:hAnsi="標楷體" w:hint="eastAsia"/>
        </w:rPr>
        <w:t>；被廢止補助金受領資格者，自被廢止全部補助金受領資格之年度起二年內，不得再申請本局各年度影視人才培訓補助；溢領之補助金未完全繳回本局前，亦不得再申請本局任何補助。但第三款、法人或團體接受機關補助辦理藝文採購監督管理辦法另有規定者，依其規定辦理：</w:t>
      </w:r>
    </w:p>
    <w:p w:rsidR="00014EDE" w:rsidRPr="003658AE" w:rsidRDefault="00014EDE" w:rsidP="00014EDE">
      <w:pPr>
        <w:numPr>
          <w:ilvl w:val="2"/>
          <w:numId w:val="1"/>
        </w:numPr>
        <w:snapToGrid w:val="0"/>
        <w:spacing w:line="400" w:lineRule="exact"/>
        <w:ind w:left="1418" w:hanging="425"/>
        <w:jc w:val="both"/>
        <w:rPr>
          <w:rFonts w:ascii="標楷體" w:eastAsia="標楷體" w:hAnsi="標楷體"/>
        </w:rPr>
      </w:pPr>
      <w:r w:rsidRPr="003658AE">
        <w:rPr>
          <w:rFonts w:ascii="標楷體" w:eastAsia="標楷體" w:hAnsi="標楷體" w:hint="eastAsia"/>
        </w:rPr>
        <w:t>違反前點第二款或第四款至第六款獲補助者應履行之負擔規定之</w:t>
      </w:r>
      <w:proofErr w:type="gramStart"/>
      <w:r w:rsidRPr="003658AE">
        <w:rPr>
          <w:rFonts w:ascii="標楷體" w:eastAsia="標楷體" w:hAnsi="標楷體" w:hint="eastAsia"/>
        </w:rPr>
        <w:t>一</w:t>
      </w:r>
      <w:proofErr w:type="gramEnd"/>
      <w:r w:rsidRPr="003658AE">
        <w:rPr>
          <w:rFonts w:ascii="標楷體" w:eastAsia="標楷體" w:hAnsi="標楷體" w:hint="eastAsia"/>
        </w:rPr>
        <w:t>者。</w:t>
      </w:r>
    </w:p>
    <w:p w:rsidR="00014EDE" w:rsidRPr="003658AE" w:rsidRDefault="00014EDE" w:rsidP="00014EDE">
      <w:pPr>
        <w:numPr>
          <w:ilvl w:val="2"/>
          <w:numId w:val="1"/>
        </w:numPr>
        <w:snapToGrid w:val="0"/>
        <w:spacing w:line="400" w:lineRule="exact"/>
        <w:ind w:left="1418" w:hanging="425"/>
        <w:jc w:val="both"/>
        <w:rPr>
          <w:rFonts w:ascii="標楷體" w:eastAsia="標楷體" w:hAnsi="標楷體"/>
        </w:rPr>
      </w:pPr>
      <w:r w:rsidRPr="003658AE">
        <w:rPr>
          <w:rFonts w:ascii="標楷體" w:eastAsia="標楷體" w:hAnsi="標楷體" w:hint="eastAsia"/>
        </w:rPr>
        <w:t>違反前點第二款應履行之負擔規定，獲補助者於本局附負擔補助行政處分確定後放棄執行獲補助案。</w:t>
      </w:r>
    </w:p>
    <w:p w:rsidR="00014EDE" w:rsidRPr="003658AE" w:rsidRDefault="00014EDE" w:rsidP="00014EDE">
      <w:pPr>
        <w:numPr>
          <w:ilvl w:val="2"/>
          <w:numId w:val="1"/>
        </w:numPr>
        <w:snapToGrid w:val="0"/>
        <w:spacing w:line="400" w:lineRule="exact"/>
        <w:ind w:left="1418" w:hanging="425"/>
        <w:jc w:val="both"/>
        <w:rPr>
          <w:rFonts w:ascii="標楷體" w:eastAsia="標楷體" w:hAnsi="標楷體"/>
        </w:rPr>
      </w:pPr>
      <w:r w:rsidRPr="003658AE">
        <w:rPr>
          <w:rFonts w:ascii="標楷體" w:eastAsia="標楷體" w:hAnsi="標楷體" w:hint="eastAsia"/>
        </w:rPr>
        <w:t>違反前點第三款獲補助者應履行之負擔規定，經本局書面限期通知補正一次，屆期</w:t>
      </w:r>
      <w:proofErr w:type="gramStart"/>
      <w:r w:rsidRPr="003658AE">
        <w:rPr>
          <w:rFonts w:ascii="標楷體" w:eastAsia="標楷體" w:hAnsi="標楷體" w:hint="eastAsia"/>
        </w:rPr>
        <w:t>不</w:t>
      </w:r>
      <w:proofErr w:type="gramEnd"/>
      <w:r w:rsidRPr="003658AE">
        <w:rPr>
          <w:rFonts w:ascii="標楷體" w:eastAsia="標楷體" w:hAnsi="標楷體" w:hint="eastAsia"/>
        </w:rPr>
        <w:t>補正或補正之文件、資料、內容仍不完整或不符規定者。</w:t>
      </w:r>
    </w:p>
    <w:p w:rsidR="00014EDE" w:rsidRPr="003658AE" w:rsidRDefault="00014EDE" w:rsidP="00014EDE">
      <w:pPr>
        <w:numPr>
          <w:ilvl w:val="0"/>
          <w:numId w:val="3"/>
        </w:numPr>
        <w:snapToGrid w:val="0"/>
        <w:spacing w:line="400" w:lineRule="exact"/>
        <w:ind w:left="993" w:hanging="568"/>
        <w:jc w:val="both"/>
        <w:rPr>
          <w:rFonts w:ascii="標楷體" w:eastAsia="標楷體" w:hAnsi="標楷體"/>
        </w:rPr>
      </w:pPr>
      <w:r w:rsidRPr="003658AE">
        <w:rPr>
          <w:rFonts w:ascii="標楷體" w:eastAsia="標楷體" w:hAnsi="標楷體" w:hint="eastAsia"/>
        </w:rPr>
        <w:t>因不可抗力或不可歸責於獲補助者之事由，</w:t>
      </w:r>
      <w:proofErr w:type="gramStart"/>
      <w:r w:rsidRPr="003658AE">
        <w:rPr>
          <w:rFonts w:ascii="標楷體" w:eastAsia="標楷體" w:hAnsi="標楷體" w:hint="eastAsia"/>
        </w:rPr>
        <w:t>致獲補助</w:t>
      </w:r>
      <w:proofErr w:type="gramEnd"/>
      <w:r w:rsidRPr="003658AE">
        <w:rPr>
          <w:rFonts w:ascii="標楷體" w:eastAsia="標楷體" w:hAnsi="標楷體" w:hint="eastAsia"/>
        </w:rPr>
        <w:t>者有前款第二目放棄執行情形發生者，本局應廢止其全部補助金受領資格，不支付補助金及其他任何名目之補償、賠償。</w:t>
      </w:r>
    </w:p>
    <w:p w:rsidR="00014EDE" w:rsidRPr="003658AE" w:rsidRDefault="00014EDE" w:rsidP="00014EDE">
      <w:pPr>
        <w:numPr>
          <w:ilvl w:val="0"/>
          <w:numId w:val="3"/>
        </w:numPr>
        <w:snapToGrid w:val="0"/>
        <w:spacing w:line="400" w:lineRule="exact"/>
        <w:ind w:left="993" w:hanging="568"/>
        <w:jc w:val="both"/>
        <w:rPr>
          <w:rFonts w:ascii="標楷體" w:eastAsia="標楷體" w:hAnsi="標楷體"/>
        </w:rPr>
      </w:pPr>
      <w:r w:rsidRPr="003658AE">
        <w:rPr>
          <w:rFonts w:ascii="標楷體" w:eastAsia="標楷體" w:hAnsi="標楷體" w:hint="eastAsia"/>
        </w:rPr>
        <w:t>獲補助者於本局核定附負擔補助處分確定前放棄獲補助資格者，本局應廢止其全部補助金受領資格，不支付補助金及其他任何名目之補償、賠償。</w:t>
      </w:r>
    </w:p>
    <w:p w:rsidR="00014EDE" w:rsidRPr="003658AE" w:rsidRDefault="00014EDE" w:rsidP="00014EDE">
      <w:pPr>
        <w:numPr>
          <w:ilvl w:val="0"/>
          <w:numId w:val="3"/>
        </w:numPr>
        <w:snapToGrid w:val="0"/>
        <w:spacing w:line="400" w:lineRule="exact"/>
        <w:ind w:left="993" w:hanging="568"/>
        <w:jc w:val="both"/>
        <w:rPr>
          <w:rFonts w:ascii="標楷體" w:eastAsia="標楷體" w:hAnsi="標楷體"/>
        </w:rPr>
      </w:pPr>
      <w:r w:rsidRPr="003658AE">
        <w:rPr>
          <w:rFonts w:ascii="標楷體" w:eastAsia="標楷體" w:hAnsi="標楷體" w:hint="eastAsia"/>
        </w:rPr>
        <w:t>獲補助者違反前點第七款規定期限</w:t>
      </w:r>
      <w:proofErr w:type="gramStart"/>
      <w:r w:rsidRPr="003658AE">
        <w:rPr>
          <w:rFonts w:ascii="標楷體" w:eastAsia="標楷體" w:hAnsi="標楷體" w:hint="eastAsia"/>
        </w:rPr>
        <w:t>不</w:t>
      </w:r>
      <w:proofErr w:type="gramEnd"/>
      <w:r w:rsidRPr="003658AE">
        <w:rPr>
          <w:rFonts w:ascii="標楷體" w:eastAsia="標楷體" w:hAnsi="標楷體" w:hint="eastAsia"/>
        </w:rPr>
        <w:t>繳交報告或繳交之報告內容不全，經本局書面限期通知補正一次，屆期</w:t>
      </w:r>
      <w:proofErr w:type="gramStart"/>
      <w:r w:rsidRPr="003658AE">
        <w:rPr>
          <w:rFonts w:ascii="標楷體" w:eastAsia="標楷體" w:hAnsi="標楷體" w:hint="eastAsia"/>
        </w:rPr>
        <w:t>不</w:t>
      </w:r>
      <w:proofErr w:type="gramEnd"/>
      <w:r w:rsidRPr="003658AE">
        <w:rPr>
          <w:rFonts w:ascii="標楷體" w:eastAsia="標楷體" w:hAnsi="標楷體" w:hint="eastAsia"/>
        </w:rPr>
        <w:t>補正或補正之報告內容仍不全，自違反前揭負擔規定之年度起二年內，不得再申請本局各年度影視人才培訓補助。</w:t>
      </w:r>
    </w:p>
    <w:p w:rsidR="00014EDE" w:rsidRPr="003658AE" w:rsidRDefault="00014EDE" w:rsidP="00014EDE">
      <w:pPr>
        <w:numPr>
          <w:ilvl w:val="0"/>
          <w:numId w:val="3"/>
        </w:numPr>
        <w:snapToGrid w:val="0"/>
        <w:spacing w:line="400" w:lineRule="exact"/>
        <w:ind w:left="993" w:hanging="568"/>
        <w:jc w:val="both"/>
        <w:rPr>
          <w:rFonts w:ascii="標楷體" w:eastAsia="標楷體" w:hAnsi="標楷體"/>
        </w:rPr>
      </w:pPr>
      <w:r w:rsidRPr="003658AE">
        <w:rPr>
          <w:rFonts w:ascii="標楷體" w:eastAsia="標楷體" w:hAnsi="標楷體" w:hint="eastAsia"/>
        </w:rPr>
        <w:lastRenderedPageBreak/>
        <w:t>違反前點第八款規定，相關經費不予核銷；已核銷者，獲補助者應</w:t>
      </w:r>
      <w:proofErr w:type="gramStart"/>
      <w:r w:rsidRPr="003658AE">
        <w:rPr>
          <w:rFonts w:ascii="標楷體" w:eastAsia="標楷體" w:hAnsi="標楷體" w:hint="eastAsia"/>
        </w:rPr>
        <w:t>將該溢領</w:t>
      </w:r>
      <w:proofErr w:type="gramEnd"/>
      <w:r w:rsidRPr="003658AE">
        <w:rPr>
          <w:rFonts w:ascii="標楷體" w:eastAsia="標楷體" w:hAnsi="標楷體" w:hint="eastAsia"/>
        </w:rPr>
        <w:t>之補助金</w:t>
      </w:r>
      <w:proofErr w:type="gramStart"/>
      <w:r w:rsidRPr="003658AE">
        <w:rPr>
          <w:rFonts w:ascii="標楷體" w:eastAsia="標楷體" w:hAnsi="標楷體" w:hint="eastAsia"/>
        </w:rPr>
        <w:t>無息繳回</w:t>
      </w:r>
      <w:proofErr w:type="gramEnd"/>
      <w:r w:rsidRPr="003658AE">
        <w:rPr>
          <w:rFonts w:ascii="標楷體" w:eastAsia="標楷體" w:hAnsi="標楷體" w:hint="eastAsia"/>
        </w:rPr>
        <w:t>本局，且自違反前揭負擔規定之年度起二年內，不得再申請本局各年度影視人才培訓補助。</w:t>
      </w:r>
      <w:proofErr w:type="gramStart"/>
      <w:r w:rsidRPr="003658AE">
        <w:rPr>
          <w:rFonts w:ascii="標楷體" w:eastAsia="標楷體" w:hAnsi="標楷體" w:hint="eastAsia"/>
        </w:rPr>
        <w:t>前開溢領</w:t>
      </w:r>
      <w:proofErr w:type="gramEnd"/>
      <w:r w:rsidRPr="003658AE">
        <w:rPr>
          <w:rFonts w:ascii="標楷體" w:eastAsia="標楷體" w:hAnsi="標楷體" w:hint="eastAsia"/>
        </w:rPr>
        <w:t>之補助金未完全給付前，本局應不受理其申請本局任何補助。</w:t>
      </w:r>
    </w:p>
    <w:p w:rsidR="00014EDE" w:rsidRPr="003658AE" w:rsidRDefault="00014EDE" w:rsidP="00014EDE">
      <w:pPr>
        <w:numPr>
          <w:ilvl w:val="0"/>
          <w:numId w:val="3"/>
        </w:numPr>
        <w:snapToGrid w:val="0"/>
        <w:spacing w:line="400" w:lineRule="exact"/>
        <w:ind w:left="993" w:hanging="568"/>
        <w:jc w:val="both"/>
        <w:rPr>
          <w:rFonts w:ascii="標楷體" w:eastAsia="標楷體" w:hAnsi="標楷體"/>
        </w:rPr>
      </w:pPr>
      <w:r w:rsidRPr="003658AE">
        <w:rPr>
          <w:rFonts w:ascii="標楷體" w:eastAsia="標楷體" w:hAnsi="標楷體" w:hint="eastAsia"/>
        </w:rPr>
        <w:t>獲補助者違反前點第九款或第十款規定，自違反前揭負擔規定之年度起二年內，不得再申請本局各年度影視人才培訓補助。</w:t>
      </w:r>
    </w:p>
    <w:p w:rsidR="00014EDE" w:rsidRPr="003658AE" w:rsidRDefault="00014EDE" w:rsidP="00014EDE">
      <w:pPr>
        <w:numPr>
          <w:ilvl w:val="0"/>
          <w:numId w:val="3"/>
        </w:numPr>
        <w:snapToGrid w:val="0"/>
        <w:spacing w:line="400" w:lineRule="exact"/>
        <w:ind w:left="993" w:hanging="568"/>
        <w:jc w:val="both"/>
        <w:rPr>
          <w:rFonts w:ascii="標楷體" w:eastAsia="標楷體" w:hAnsi="標楷體"/>
        </w:rPr>
      </w:pPr>
      <w:r w:rsidRPr="003658AE">
        <w:rPr>
          <w:rFonts w:ascii="標楷體" w:eastAsia="標楷體" w:hAnsi="標楷體" w:hint="eastAsia"/>
        </w:rPr>
        <w:t>違反前點第十一款規定，相關經費不予核銷；已核銷者，獲補助者應</w:t>
      </w:r>
      <w:proofErr w:type="gramStart"/>
      <w:r w:rsidRPr="003658AE">
        <w:rPr>
          <w:rFonts w:ascii="標楷體" w:eastAsia="標楷體" w:hAnsi="標楷體" w:hint="eastAsia"/>
        </w:rPr>
        <w:t>將該溢領</w:t>
      </w:r>
      <w:proofErr w:type="gramEnd"/>
      <w:r w:rsidRPr="003658AE">
        <w:rPr>
          <w:rFonts w:ascii="標楷體" w:eastAsia="標楷體" w:hAnsi="標楷體" w:hint="eastAsia"/>
        </w:rPr>
        <w:t>之補助金</w:t>
      </w:r>
      <w:proofErr w:type="gramStart"/>
      <w:r w:rsidRPr="003658AE">
        <w:rPr>
          <w:rFonts w:ascii="標楷體" w:eastAsia="標楷體" w:hAnsi="標楷體" w:hint="eastAsia"/>
        </w:rPr>
        <w:t>無息繳回</w:t>
      </w:r>
      <w:proofErr w:type="gramEnd"/>
      <w:r w:rsidRPr="003658AE">
        <w:rPr>
          <w:rFonts w:ascii="標楷體" w:eastAsia="標楷體" w:hAnsi="標楷體" w:hint="eastAsia"/>
        </w:rPr>
        <w:t xml:space="preserve">本局。溢領之補助金未完全繳回本局前，本局應不受理其申請本局任何補助。 </w:t>
      </w:r>
    </w:p>
    <w:p w:rsidR="00014EDE" w:rsidRPr="003658AE" w:rsidRDefault="00014EDE" w:rsidP="00014EDE">
      <w:pPr>
        <w:numPr>
          <w:ilvl w:val="0"/>
          <w:numId w:val="3"/>
        </w:numPr>
        <w:snapToGrid w:val="0"/>
        <w:spacing w:line="400" w:lineRule="exact"/>
        <w:ind w:left="993" w:hanging="568"/>
        <w:jc w:val="both"/>
        <w:rPr>
          <w:rFonts w:ascii="標楷體" w:eastAsia="標楷體" w:hAnsi="標楷體"/>
        </w:rPr>
      </w:pPr>
      <w:r w:rsidRPr="003658AE">
        <w:rPr>
          <w:rFonts w:ascii="標楷體" w:eastAsia="標楷體" w:hAnsi="標楷體" w:hint="eastAsia"/>
        </w:rPr>
        <w:t>獲補助者未依前點第十二款規定將結餘款繳回本局前，本局應不受理其申請本局任何補助。</w:t>
      </w:r>
    </w:p>
    <w:p w:rsidR="00014EDE" w:rsidRPr="003658AE" w:rsidRDefault="00014EDE" w:rsidP="00014EDE">
      <w:pPr>
        <w:numPr>
          <w:ilvl w:val="0"/>
          <w:numId w:val="3"/>
        </w:numPr>
        <w:snapToGrid w:val="0"/>
        <w:spacing w:line="400" w:lineRule="exact"/>
        <w:ind w:left="993" w:hanging="568"/>
        <w:rPr>
          <w:rFonts w:ascii="標楷體" w:eastAsia="標楷體" w:hAnsi="標楷體"/>
        </w:rPr>
      </w:pPr>
      <w:r w:rsidRPr="003658AE">
        <w:rPr>
          <w:rFonts w:ascii="標楷體" w:eastAsia="標楷體" w:hAnsi="標楷體" w:hint="eastAsia"/>
        </w:rPr>
        <w:t>經本局撤銷或廢止補助金受領資格者，不得以被撤銷或廢止補助金資格之企畫書申請本局任何補助。</w:t>
      </w:r>
    </w:p>
    <w:p w:rsidR="00014EDE" w:rsidRPr="003658AE" w:rsidRDefault="00014EDE" w:rsidP="00014EDE">
      <w:pPr>
        <w:spacing w:line="400" w:lineRule="exact"/>
        <w:rPr>
          <w:rFonts w:ascii="標楷體" w:eastAsia="標楷體" w:hAnsi="標楷體"/>
          <w:bCs/>
        </w:rPr>
      </w:pPr>
      <w:r w:rsidRPr="003658AE">
        <w:rPr>
          <w:rFonts w:ascii="標楷體" w:eastAsia="標楷體" w:hAnsi="標楷體" w:hint="eastAsia"/>
        </w:rPr>
        <w:t>十三、</w:t>
      </w:r>
      <w:r w:rsidRPr="003658AE">
        <w:rPr>
          <w:rFonts w:ascii="標楷體" w:eastAsia="標楷體" w:hAnsi="標楷體"/>
          <w:bCs/>
        </w:rPr>
        <w:t>個人資料蒐集、處理</w:t>
      </w:r>
      <w:r w:rsidRPr="003658AE">
        <w:rPr>
          <w:rFonts w:ascii="標楷體" w:eastAsia="標楷體" w:hAnsi="標楷體" w:hint="eastAsia"/>
          <w:bCs/>
        </w:rPr>
        <w:t>或</w:t>
      </w:r>
      <w:r w:rsidRPr="003658AE">
        <w:rPr>
          <w:rFonts w:ascii="標楷體" w:eastAsia="標楷體" w:hAnsi="標楷體"/>
          <w:bCs/>
        </w:rPr>
        <w:t>利用</w:t>
      </w:r>
      <w:r w:rsidRPr="003658AE">
        <w:rPr>
          <w:rFonts w:ascii="標楷體" w:eastAsia="標楷體" w:hAnsi="標楷體" w:hint="eastAsia"/>
          <w:bCs/>
        </w:rPr>
        <w:t>原則及違反之處置</w:t>
      </w:r>
    </w:p>
    <w:p w:rsidR="00014EDE" w:rsidRPr="003658AE" w:rsidRDefault="00014EDE" w:rsidP="00014EDE">
      <w:pPr>
        <w:numPr>
          <w:ilvl w:val="0"/>
          <w:numId w:val="4"/>
        </w:numPr>
        <w:spacing w:line="400" w:lineRule="exact"/>
        <w:ind w:left="993" w:hanging="567"/>
        <w:rPr>
          <w:rFonts w:ascii="標楷體" w:eastAsia="標楷體" w:hAnsi="標楷體"/>
        </w:rPr>
      </w:pPr>
      <w:r w:rsidRPr="003658AE">
        <w:rPr>
          <w:rFonts w:ascii="標楷體" w:eastAsia="標楷體" w:hAnsi="標楷體" w:hint="eastAsia"/>
        </w:rPr>
        <w:t>申請案之聯絡人應同意本局基於行政管理及業務所需，蒐集、利用、處理其個人資料。不同意者，不受理該申請案。</w:t>
      </w:r>
    </w:p>
    <w:p w:rsidR="00014EDE" w:rsidRPr="003658AE" w:rsidRDefault="00014EDE" w:rsidP="00014EDE">
      <w:pPr>
        <w:numPr>
          <w:ilvl w:val="0"/>
          <w:numId w:val="4"/>
        </w:numPr>
        <w:spacing w:line="400" w:lineRule="exact"/>
        <w:ind w:left="993" w:hanging="567"/>
        <w:rPr>
          <w:rFonts w:ascii="標楷體" w:eastAsia="標楷體" w:hAnsi="標楷體"/>
        </w:rPr>
      </w:pPr>
      <w:r w:rsidRPr="003658AE">
        <w:rPr>
          <w:rFonts w:ascii="標楷體" w:eastAsia="標楷體" w:hAnsi="標楷體" w:hint="eastAsia"/>
        </w:rPr>
        <w:t>申請者保證自申請</w:t>
      </w:r>
      <w:proofErr w:type="gramStart"/>
      <w:r w:rsidRPr="003658AE">
        <w:rPr>
          <w:rFonts w:ascii="標楷體" w:eastAsia="標楷體" w:hAnsi="標楷體" w:hint="eastAsia"/>
        </w:rPr>
        <w:t>期間至獲補助</w:t>
      </w:r>
      <w:proofErr w:type="gramEnd"/>
      <w:r w:rsidRPr="003658AE">
        <w:rPr>
          <w:rFonts w:ascii="標楷體" w:eastAsia="標楷體" w:hAnsi="標楷體" w:hint="eastAsia"/>
        </w:rPr>
        <w:t>案執行結束後，</w:t>
      </w:r>
      <w:proofErr w:type="gramStart"/>
      <w:r w:rsidRPr="003658AE">
        <w:rPr>
          <w:rFonts w:ascii="標楷體" w:eastAsia="標楷體" w:hAnsi="標楷體" w:hint="eastAsia"/>
        </w:rPr>
        <w:t>均應遵守</w:t>
      </w:r>
      <w:proofErr w:type="gramEnd"/>
      <w:r w:rsidRPr="003658AE">
        <w:rPr>
          <w:rFonts w:ascii="標楷體" w:eastAsia="標楷體" w:hAnsi="標楷體" w:hint="eastAsia"/>
        </w:rPr>
        <w:t>個人資料保護法或其他相關法令之規定，如有蒐集、利用及處理師資或學員個人資料如姓名、性別、聯絡資訊等，於交付本局前，</w:t>
      </w:r>
      <w:proofErr w:type="gramStart"/>
      <w:r w:rsidRPr="003658AE">
        <w:rPr>
          <w:rFonts w:ascii="標楷體" w:eastAsia="標楷體" w:hAnsi="標楷體" w:hint="eastAsia"/>
        </w:rPr>
        <w:t>均應依</w:t>
      </w:r>
      <w:proofErr w:type="gramEnd"/>
      <w:r w:rsidRPr="003658AE">
        <w:rPr>
          <w:rFonts w:ascii="標楷體" w:eastAsia="標楷體" w:hAnsi="標楷體" w:hint="eastAsia"/>
        </w:rPr>
        <w:t>個人資料保護法取得被利用人之同意，且</w:t>
      </w:r>
      <w:r w:rsidRPr="003658AE">
        <w:rPr>
          <w:rFonts w:ascii="標楷體" w:eastAsia="標楷體" w:hAnsi="標楷體" w:hint="eastAsia"/>
          <w:bCs/>
        </w:rPr>
        <w:t>同意本局基於行政管理及業務之相關目的所需，蒐集、處理及利用其個人資料</w:t>
      </w:r>
      <w:r w:rsidRPr="003658AE">
        <w:rPr>
          <w:rFonts w:ascii="標楷體" w:eastAsia="標楷體" w:hAnsi="標楷體" w:hint="eastAsia"/>
        </w:rPr>
        <w:t>。如因違反法令而蒐集、處理及利用他人個人資料，致他人受有損害者，申請者應負相關法律責任。</w:t>
      </w:r>
    </w:p>
    <w:p w:rsidR="00014EDE" w:rsidRPr="003658AE" w:rsidRDefault="00014EDE" w:rsidP="00014EDE">
      <w:pPr>
        <w:adjustRightInd w:val="0"/>
        <w:snapToGrid w:val="0"/>
        <w:ind w:left="708" w:hangingChars="295" w:hanging="708"/>
        <w:jc w:val="both"/>
        <w:rPr>
          <w:rFonts w:eastAsia="標楷體"/>
        </w:rPr>
      </w:pPr>
      <w:r w:rsidRPr="003658AE">
        <w:rPr>
          <w:rFonts w:ascii="標楷體" w:eastAsia="標楷體" w:hAnsi="標楷體" w:hint="eastAsia"/>
        </w:rPr>
        <w:t>十四、</w:t>
      </w:r>
      <w:r w:rsidRPr="003658AE">
        <w:rPr>
          <w:rFonts w:eastAsia="標楷體" w:hint="eastAsia"/>
        </w:rPr>
        <w:t>本要點預算因遭立法院刪減、凍結或其他不可歸責於本局之事由，致本局無法執行補助者，本局得停止受理且不核算、不撥付補助金，獲補助者並不得要求本局任何補償或賠償。</w:t>
      </w:r>
    </w:p>
    <w:p w:rsidR="00014EDE" w:rsidRPr="003658AE" w:rsidRDefault="00014EDE" w:rsidP="00014EDE">
      <w:pPr>
        <w:spacing w:line="400" w:lineRule="exact"/>
        <w:ind w:left="720" w:hangingChars="300" w:hanging="720"/>
        <w:jc w:val="both"/>
        <w:rPr>
          <w:rFonts w:ascii="標楷體" w:eastAsia="標楷體" w:hAnsi="標楷體"/>
        </w:rPr>
      </w:pPr>
      <w:r w:rsidRPr="003658AE">
        <w:rPr>
          <w:rFonts w:ascii="標楷體" w:eastAsia="標楷體" w:hAnsi="標楷體" w:hint="eastAsia"/>
        </w:rPr>
        <w:t>十五、本要點有關本局之權利及義務，因組織法規變更，由承接本要點業務之行政機關概括承受。</w:t>
      </w:r>
    </w:p>
    <w:p w:rsidR="00014EDE" w:rsidRPr="003658AE" w:rsidRDefault="00014EDE" w:rsidP="00014EDE">
      <w:pPr>
        <w:spacing w:line="400" w:lineRule="exact"/>
        <w:ind w:left="720" w:hangingChars="300" w:hanging="720"/>
        <w:jc w:val="both"/>
        <w:rPr>
          <w:rFonts w:ascii="標楷體" w:eastAsia="標楷體" w:hAnsi="標楷體"/>
        </w:rPr>
      </w:pPr>
      <w:r w:rsidRPr="003658AE">
        <w:rPr>
          <w:rFonts w:ascii="標楷體" w:eastAsia="標楷體" w:hAnsi="標楷體" w:hint="eastAsia"/>
        </w:rPr>
        <w:t>十六、本要點如有疑義或其他未盡事宜，由本局解釋之。</w:t>
      </w:r>
    </w:p>
    <w:p w:rsidR="00691A99" w:rsidRPr="003658AE" w:rsidRDefault="00691A99"/>
    <w:sectPr w:rsidR="00691A99" w:rsidRPr="003658AE" w:rsidSect="001D286E">
      <w:foot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72F" w:rsidRDefault="00F1572F">
      <w:r>
        <w:separator/>
      </w:r>
    </w:p>
  </w:endnote>
  <w:endnote w:type="continuationSeparator" w:id="0">
    <w:p w:rsidR="00F1572F" w:rsidRDefault="00F1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3FD" w:rsidRDefault="00014EDE">
    <w:pPr>
      <w:pStyle w:val="a3"/>
      <w:jc w:val="center"/>
    </w:pPr>
    <w:r>
      <w:fldChar w:fldCharType="begin"/>
    </w:r>
    <w:r>
      <w:instrText>PAGE   \* MERGEFORMAT</w:instrText>
    </w:r>
    <w:r>
      <w:fldChar w:fldCharType="separate"/>
    </w:r>
    <w:r w:rsidR="00B11CA6" w:rsidRPr="00B11CA6">
      <w:rPr>
        <w:noProof/>
        <w:lang w:val="zh-TW"/>
      </w:rPr>
      <w:t>3</w:t>
    </w:r>
    <w:r>
      <w:fldChar w:fldCharType="end"/>
    </w:r>
  </w:p>
  <w:p w:rsidR="00C863FD" w:rsidRDefault="00F1572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72F" w:rsidRDefault="00F1572F">
      <w:r>
        <w:separator/>
      </w:r>
    </w:p>
  </w:footnote>
  <w:footnote w:type="continuationSeparator" w:id="0">
    <w:p w:rsidR="00F1572F" w:rsidRDefault="00F15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E4DD4"/>
    <w:multiLevelType w:val="hybridMultilevel"/>
    <w:tmpl w:val="FCE6C414"/>
    <w:lvl w:ilvl="0" w:tplc="C7327F66">
      <w:start w:val="1"/>
      <w:numFmt w:val="taiwaneseCountingThousand"/>
      <w:lvlText w:val="(%1)"/>
      <w:lvlJc w:val="left"/>
      <w:pPr>
        <w:ind w:left="1004" w:hanging="720"/>
      </w:pPr>
      <w:rPr>
        <w:rFonts w:hint="default"/>
        <w:color w:val="000000"/>
        <w:shd w:val="clear" w:color="auto" w:fill="auto"/>
      </w:rPr>
    </w:lvl>
    <w:lvl w:ilvl="1" w:tplc="CDCCC856">
      <w:start w:val="1"/>
      <w:numFmt w:val="taiwaneseCountingThousand"/>
      <w:lvlText w:val="(%2)"/>
      <w:lvlJc w:val="left"/>
      <w:pPr>
        <w:ind w:left="1526" w:hanging="480"/>
      </w:pPr>
      <w:rPr>
        <w:rFonts w:hint="default"/>
        <w:color w:val="auto"/>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442464E2"/>
    <w:multiLevelType w:val="hybridMultilevel"/>
    <w:tmpl w:val="12243D86"/>
    <w:lvl w:ilvl="0" w:tplc="CDCCC856">
      <w:start w:val="1"/>
      <w:numFmt w:val="taiwaneseCountingThousand"/>
      <w:lvlText w:val="(%1)"/>
      <w:lvlJc w:val="left"/>
      <w:pPr>
        <w:ind w:left="1288" w:hanging="720"/>
      </w:pPr>
      <w:rPr>
        <w:rFonts w:hint="default"/>
        <w:color w:val="auto"/>
      </w:rPr>
    </w:lvl>
    <w:lvl w:ilvl="1" w:tplc="AA1C65E8">
      <w:start w:val="1"/>
      <w:numFmt w:val="taiwaneseCountingThousand"/>
      <w:lvlText w:val="(%2)"/>
      <w:lvlJc w:val="left"/>
      <w:pPr>
        <w:ind w:left="1524" w:hanging="480"/>
      </w:pPr>
      <w:rPr>
        <w:rFonts w:hint="default"/>
      </w:rPr>
    </w:lvl>
    <w:lvl w:ilvl="2" w:tplc="1B3E7602">
      <w:start w:val="1"/>
      <w:numFmt w:val="decimal"/>
      <w:lvlText w:val="%3、"/>
      <w:lvlJc w:val="left"/>
      <w:pPr>
        <w:ind w:left="1398" w:hanging="405"/>
      </w:pPr>
      <w:rPr>
        <w:rFonts w:hint="default"/>
        <w:sz w:val="28"/>
        <w:szCs w:val="28"/>
        <w:lang w:val="en-US"/>
      </w:rPr>
    </w:lvl>
    <w:lvl w:ilvl="3" w:tplc="77E4C9DC">
      <w:start w:val="1"/>
      <w:numFmt w:val="decimal"/>
      <w:lvlText w:val="(%4)"/>
      <w:lvlJc w:val="left"/>
      <w:pPr>
        <w:ind w:left="2724" w:hanging="720"/>
      </w:pPr>
      <w:rPr>
        <w:rFonts w:hint="default"/>
      </w:r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490916DB"/>
    <w:multiLevelType w:val="hybridMultilevel"/>
    <w:tmpl w:val="D716E8AE"/>
    <w:lvl w:ilvl="0" w:tplc="6FD851B8">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3" w15:restartNumberingAfterBreak="0">
    <w:nsid w:val="4D032896"/>
    <w:multiLevelType w:val="hybridMultilevel"/>
    <w:tmpl w:val="7AAA4E38"/>
    <w:lvl w:ilvl="0" w:tplc="50427CDE">
      <w:start w:val="1"/>
      <w:numFmt w:val="taiwaneseCountingThousand"/>
      <w:lvlText w:val="(%1)"/>
      <w:lvlJc w:val="left"/>
      <w:pPr>
        <w:ind w:left="480" w:hanging="480"/>
      </w:pPr>
      <w:rPr>
        <w:rFonts w:hint="default"/>
        <w:strike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A916897"/>
    <w:multiLevelType w:val="hybridMultilevel"/>
    <w:tmpl w:val="8480AA02"/>
    <w:lvl w:ilvl="0" w:tplc="C7327F66">
      <w:start w:val="1"/>
      <w:numFmt w:val="taiwaneseCountingThousand"/>
      <w:lvlText w:val="(%1)"/>
      <w:lvlJc w:val="left"/>
      <w:pPr>
        <w:ind w:left="1004" w:hanging="720"/>
      </w:pPr>
      <w:rPr>
        <w:rFonts w:hint="default"/>
        <w:color w:val="000000"/>
        <w:shd w:val="clear" w:color="auto" w:fill="auto"/>
      </w:rPr>
    </w:lvl>
    <w:lvl w:ilvl="1" w:tplc="0409000F">
      <w:start w:val="1"/>
      <w:numFmt w:val="decim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DE"/>
    <w:rsid w:val="00014EDE"/>
    <w:rsid w:val="00132F5C"/>
    <w:rsid w:val="003658AE"/>
    <w:rsid w:val="00400341"/>
    <w:rsid w:val="00691A99"/>
    <w:rsid w:val="006F748E"/>
    <w:rsid w:val="009C06C5"/>
    <w:rsid w:val="00A1491D"/>
    <w:rsid w:val="00AF7ADB"/>
    <w:rsid w:val="00B11CA6"/>
    <w:rsid w:val="00B21B38"/>
    <w:rsid w:val="00BF4620"/>
    <w:rsid w:val="00C6399A"/>
    <w:rsid w:val="00DA20D2"/>
    <w:rsid w:val="00F157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716025-A665-4D85-8B6A-AE9111D6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D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14EDE"/>
    <w:pPr>
      <w:tabs>
        <w:tab w:val="center" w:pos="4153"/>
        <w:tab w:val="right" w:pos="8306"/>
      </w:tabs>
      <w:snapToGrid w:val="0"/>
    </w:pPr>
    <w:rPr>
      <w:sz w:val="20"/>
      <w:szCs w:val="20"/>
    </w:rPr>
  </w:style>
  <w:style w:type="character" w:customStyle="1" w:styleId="a4">
    <w:name w:val="頁尾 字元"/>
    <w:basedOn w:val="a0"/>
    <w:link w:val="a3"/>
    <w:uiPriority w:val="99"/>
    <w:rsid w:val="00014EDE"/>
    <w:rPr>
      <w:rFonts w:ascii="Times New Roman" w:eastAsia="新細明體" w:hAnsi="Times New Roman" w:cs="Times New Roman"/>
      <w:sz w:val="20"/>
      <w:szCs w:val="20"/>
    </w:rPr>
  </w:style>
  <w:style w:type="paragraph" w:styleId="a5">
    <w:name w:val="header"/>
    <w:basedOn w:val="a"/>
    <w:link w:val="a6"/>
    <w:uiPriority w:val="99"/>
    <w:unhideWhenUsed/>
    <w:rsid w:val="00B21B38"/>
    <w:pPr>
      <w:tabs>
        <w:tab w:val="center" w:pos="4153"/>
        <w:tab w:val="right" w:pos="8306"/>
      </w:tabs>
      <w:snapToGrid w:val="0"/>
    </w:pPr>
    <w:rPr>
      <w:sz w:val="20"/>
      <w:szCs w:val="20"/>
    </w:rPr>
  </w:style>
  <w:style w:type="character" w:customStyle="1" w:styleId="a6">
    <w:name w:val="頁首 字元"/>
    <w:basedOn w:val="a0"/>
    <w:link w:val="a5"/>
    <w:uiPriority w:val="99"/>
    <w:rsid w:val="00B21B3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盧怡安</dc:creator>
  <cp:keywords/>
  <dc:description/>
  <cp:lastModifiedBy>盧怡安</cp:lastModifiedBy>
  <cp:revision>4</cp:revision>
  <dcterms:created xsi:type="dcterms:W3CDTF">2020-08-12T02:27:00Z</dcterms:created>
  <dcterms:modified xsi:type="dcterms:W3CDTF">2020-08-17T06:23:00Z</dcterms:modified>
</cp:coreProperties>
</file>