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FC" w:rsidRDefault="00715AC9">
      <w:pPr>
        <w:snapToGrid w:val="0"/>
        <w:spacing w:after="0" w:line="240" w:lineRule="auto"/>
        <w:jc w:val="center"/>
        <w:rPr>
          <w:rFonts w:ascii="標楷體" w:eastAsia="標楷體" w:hAnsi="標楷體" w:cs="新細明體;PMingLiU"/>
          <w:b/>
          <w:bCs/>
          <w:color w:val="000000"/>
          <w:sz w:val="24"/>
          <w:szCs w:val="24"/>
          <w:lang w:bidi="ar-SA"/>
        </w:rPr>
      </w:pPr>
      <w:r>
        <w:rPr>
          <w:rFonts w:ascii="標楷體" w:eastAsia="標楷體" w:hAnsi="標楷體" w:cs="新細明體;PMingLiU"/>
          <w:b/>
          <w:bCs/>
          <w:color w:val="000000"/>
          <w:sz w:val="24"/>
          <w:szCs w:val="24"/>
          <w:lang w:bidi="ar-SA"/>
        </w:rPr>
        <w:t>國立新竹生活美學館推展生活美學補助作業要點</w:t>
      </w:r>
    </w:p>
    <w:p w:rsidR="00B959FC" w:rsidRDefault="00B959FC" w:rsidP="00C37C18">
      <w:pPr>
        <w:snapToGrid w:val="0"/>
        <w:spacing w:after="0" w:line="300" w:lineRule="exact"/>
        <w:jc w:val="center"/>
        <w:rPr>
          <w:rFonts w:ascii="標楷體" w:eastAsia="標楷體" w:hAnsi="標楷體" w:cs="新細明體;PMingLiU"/>
          <w:b/>
          <w:bCs/>
          <w:color w:val="000000"/>
          <w:sz w:val="24"/>
          <w:szCs w:val="24"/>
          <w:lang w:bidi="ar-SA"/>
        </w:rPr>
      </w:pPr>
    </w:p>
    <w:p w:rsidR="00B959FC" w:rsidRPr="00C37C18" w:rsidRDefault="00715AC9" w:rsidP="00C37C18">
      <w:pPr>
        <w:pStyle w:val="af3"/>
        <w:spacing w:after="0" w:line="240" w:lineRule="exact"/>
        <w:ind w:right="198"/>
        <w:jc w:val="right"/>
        <w:rPr>
          <w:rFonts w:ascii="標楷體" w:eastAsia="標楷體" w:hAnsi="標楷體"/>
          <w:sz w:val="16"/>
        </w:rPr>
      </w:pPr>
      <w:r w:rsidRPr="00C37C18">
        <w:rPr>
          <w:rFonts w:ascii="標楷體" w:eastAsia="標楷體" w:hAnsi="標楷體"/>
          <w:sz w:val="16"/>
        </w:rPr>
        <w:t>行政院文化建設委員會中華民國98年5月8</w:t>
      </w:r>
      <w:proofErr w:type="gramStart"/>
      <w:r w:rsidRPr="00C37C18">
        <w:rPr>
          <w:rFonts w:ascii="標楷體" w:eastAsia="標楷體" w:hAnsi="標楷體"/>
          <w:sz w:val="16"/>
        </w:rPr>
        <w:t>日文貳字第0983115225號</w:t>
      </w:r>
      <w:proofErr w:type="gramEnd"/>
      <w:r w:rsidRPr="00C37C18">
        <w:rPr>
          <w:rFonts w:ascii="標楷體" w:eastAsia="標楷體" w:hAnsi="標楷體"/>
          <w:sz w:val="16"/>
        </w:rPr>
        <w:t>函核定</w:t>
      </w:r>
    </w:p>
    <w:p w:rsidR="00B959FC" w:rsidRPr="00C37C18" w:rsidRDefault="00715AC9" w:rsidP="00C37C18">
      <w:pPr>
        <w:pStyle w:val="af3"/>
        <w:spacing w:after="0" w:line="240" w:lineRule="exact"/>
        <w:ind w:right="198"/>
        <w:jc w:val="right"/>
        <w:rPr>
          <w:rFonts w:ascii="標楷體" w:eastAsia="標楷體" w:hAnsi="標楷體"/>
          <w:sz w:val="16"/>
        </w:rPr>
      </w:pPr>
      <w:r w:rsidRPr="00C37C18">
        <w:rPr>
          <w:rFonts w:ascii="標楷體" w:eastAsia="標楷體" w:hAnsi="標楷體"/>
          <w:sz w:val="16"/>
        </w:rPr>
        <w:t>國立新竹生活美學館98年5月15日竹美</w:t>
      </w:r>
      <w:proofErr w:type="gramStart"/>
      <w:r w:rsidRPr="00C37C18">
        <w:rPr>
          <w:rFonts w:ascii="標楷體" w:eastAsia="標楷體" w:hAnsi="標楷體"/>
          <w:sz w:val="16"/>
        </w:rPr>
        <w:t>研</w:t>
      </w:r>
      <w:proofErr w:type="gramEnd"/>
      <w:r w:rsidRPr="00C37C18">
        <w:rPr>
          <w:rFonts w:ascii="標楷體" w:eastAsia="標楷體" w:hAnsi="標楷體"/>
          <w:sz w:val="16"/>
        </w:rPr>
        <w:t>字第0980001124號令訂頒</w:t>
      </w:r>
    </w:p>
    <w:p w:rsidR="00B959FC" w:rsidRPr="00C37C18" w:rsidRDefault="00715AC9" w:rsidP="00C37C18">
      <w:pPr>
        <w:pStyle w:val="af3"/>
        <w:spacing w:after="0" w:line="240" w:lineRule="exact"/>
        <w:ind w:right="198"/>
        <w:jc w:val="right"/>
        <w:rPr>
          <w:rFonts w:ascii="標楷體" w:eastAsia="標楷體" w:hAnsi="標楷體"/>
          <w:sz w:val="16"/>
        </w:rPr>
      </w:pPr>
      <w:r w:rsidRPr="00C37C18">
        <w:rPr>
          <w:rFonts w:ascii="標楷體" w:eastAsia="標楷體" w:hAnsi="標楷體"/>
          <w:sz w:val="16"/>
        </w:rPr>
        <w:t>行政院文化建設委員會中華民國98年9月30</w:t>
      </w:r>
      <w:proofErr w:type="gramStart"/>
      <w:r w:rsidRPr="00C37C18">
        <w:rPr>
          <w:rFonts w:ascii="標楷體" w:eastAsia="標楷體" w:hAnsi="標楷體"/>
          <w:sz w:val="16"/>
        </w:rPr>
        <w:t>日文貳字第0983406107號</w:t>
      </w:r>
      <w:proofErr w:type="gramEnd"/>
      <w:r w:rsidRPr="00C37C18">
        <w:rPr>
          <w:rFonts w:ascii="標楷體" w:eastAsia="標楷體" w:hAnsi="標楷體"/>
          <w:sz w:val="16"/>
        </w:rPr>
        <w:t>函核定修正</w:t>
      </w:r>
    </w:p>
    <w:p w:rsidR="00B959FC" w:rsidRPr="00C37C18" w:rsidRDefault="00715AC9" w:rsidP="00C37C18">
      <w:pPr>
        <w:pStyle w:val="af3"/>
        <w:spacing w:after="0" w:line="240" w:lineRule="exact"/>
        <w:ind w:right="198"/>
        <w:jc w:val="right"/>
        <w:rPr>
          <w:rFonts w:ascii="標楷體" w:eastAsia="標楷體" w:hAnsi="標楷體"/>
          <w:sz w:val="16"/>
        </w:rPr>
      </w:pPr>
      <w:r w:rsidRPr="00C37C18">
        <w:rPr>
          <w:rFonts w:ascii="標楷體" w:eastAsia="標楷體" w:hAnsi="標楷體"/>
          <w:sz w:val="16"/>
        </w:rPr>
        <w:t>國立新竹生活美學館98年10月9日竹美</w:t>
      </w:r>
      <w:proofErr w:type="gramStart"/>
      <w:r w:rsidRPr="00C37C18">
        <w:rPr>
          <w:rFonts w:ascii="標楷體" w:eastAsia="標楷體" w:hAnsi="標楷體"/>
          <w:sz w:val="16"/>
        </w:rPr>
        <w:t>研</w:t>
      </w:r>
      <w:proofErr w:type="gramEnd"/>
      <w:r w:rsidRPr="00C37C18">
        <w:rPr>
          <w:rFonts w:ascii="標楷體" w:eastAsia="標楷體" w:hAnsi="標楷體"/>
          <w:sz w:val="16"/>
        </w:rPr>
        <w:t>字第0980002768號令修正</w:t>
      </w:r>
    </w:p>
    <w:p w:rsidR="00B959FC" w:rsidRPr="00C37C18" w:rsidRDefault="00715AC9" w:rsidP="00C37C18">
      <w:pPr>
        <w:pStyle w:val="af3"/>
        <w:spacing w:after="0" w:line="240" w:lineRule="exact"/>
        <w:ind w:right="198"/>
        <w:jc w:val="right"/>
        <w:rPr>
          <w:rFonts w:ascii="標楷體" w:eastAsia="標楷體" w:hAnsi="標楷體"/>
          <w:sz w:val="16"/>
        </w:rPr>
      </w:pPr>
      <w:r w:rsidRPr="00C37C18">
        <w:rPr>
          <w:rFonts w:ascii="標楷體" w:eastAsia="標楷體" w:hAnsi="標楷體"/>
          <w:sz w:val="16"/>
        </w:rPr>
        <w:t>行政院文化建設委員會中華民國100年4月1</w:t>
      </w:r>
      <w:proofErr w:type="gramStart"/>
      <w:r w:rsidRPr="00C37C18">
        <w:rPr>
          <w:rFonts w:ascii="標楷體" w:eastAsia="標楷體" w:hAnsi="標楷體"/>
          <w:sz w:val="16"/>
        </w:rPr>
        <w:t>日文參字第1003006950號</w:t>
      </w:r>
      <w:proofErr w:type="gramEnd"/>
      <w:r w:rsidRPr="00C37C18">
        <w:rPr>
          <w:rFonts w:ascii="標楷體" w:eastAsia="標楷體" w:hAnsi="標楷體"/>
          <w:sz w:val="16"/>
        </w:rPr>
        <w:t>書函核定修正</w:t>
      </w:r>
    </w:p>
    <w:p w:rsidR="00B959FC" w:rsidRPr="00C37C18" w:rsidRDefault="00715AC9" w:rsidP="00C37C18">
      <w:pPr>
        <w:pStyle w:val="af3"/>
        <w:spacing w:after="0" w:line="240" w:lineRule="exact"/>
        <w:ind w:right="198"/>
        <w:jc w:val="right"/>
        <w:rPr>
          <w:rFonts w:ascii="標楷體" w:eastAsia="標楷體" w:hAnsi="標楷體"/>
          <w:sz w:val="16"/>
        </w:rPr>
      </w:pPr>
      <w:r w:rsidRPr="00C37C18">
        <w:rPr>
          <w:rFonts w:ascii="標楷體" w:eastAsia="標楷體" w:hAnsi="標楷體"/>
          <w:sz w:val="16"/>
        </w:rPr>
        <w:t>國立新竹生活美學館100年4月14日竹美</w:t>
      </w:r>
      <w:proofErr w:type="gramStart"/>
      <w:r w:rsidRPr="00C37C18">
        <w:rPr>
          <w:rFonts w:ascii="標楷體" w:eastAsia="標楷體" w:hAnsi="標楷體"/>
          <w:sz w:val="16"/>
        </w:rPr>
        <w:t>研</w:t>
      </w:r>
      <w:proofErr w:type="gramEnd"/>
      <w:r w:rsidRPr="00C37C18">
        <w:rPr>
          <w:rFonts w:ascii="標楷體" w:eastAsia="標楷體" w:hAnsi="標楷體"/>
          <w:sz w:val="16"/>
        </w:rPr>
        <w:t>字第1002000506號令修正</w:t>
      </w:r>
    </w:p>
    <w:p w:rsidR="00B959FC" w:rsidRPr="00C37C18" w:rsidRDefault="00715AC9" w:rsidP="00C37C18">
      <w:pPr>
        <w:pStyle w:val="af3"/>
        <w:spacing w:after="0" w:line="240" w:lineRule="exact"/>
        <w:ind w:right="198"/>
        <w:jc w:val="right"/>
        <w:rPr>
          <w:rFonts w:ascii="標楷體" w:eastAsia="標楷體" w:hAnsi="標楷體"/>
          <w:sz w:val="16"/>
        </w:rPr>
      </w:pPr>
      <w:r w:rsidRPr="00C37C18">
        <w:rPr>
          <w:rFonts w:ascii="標楷體" w:eastAsia="標楷體" w:hAnsi="標楷體"/>
          <w:sz w:val="16"/>
        </w:rPr>
        <w:t>行政院文化建設委員會中華民國101年4月24</w:t>
      </w:r>
      <w:proofErr w:type="gramStart"/>
      <w:r w:rsidRPr="00C37C18">
        <w:rPr>
          <w:rFonts w:ascii="標楷體" w:eastAsia="標楷體" w:hAnsi="標楷體"/>
          <w:sz w:val="16"/>
        </w:rPr>
        <w:t>日文參字第1013008817號</w:t>
      </w:r>
      <w:proofErr w:type="gramEnd"/>
      <w:r w:rsidRPr="00C37C18">
        <w:rPr>
          <w:rFonts w:ascii="標楷體" w:eastAsia="標楷體" w:hAnsi="標楷體"/>
          <w:sz w:val="16"/>
        </w:rPr>
        <w:t>函核定修正</w:t>
      </w:r>
    </w:p>
    <w:p w:rsidR="00B959FC" w:rsidRPr="00C37C18" w:rsidRDefault="00715AC9" w:rsidP="00C37C18">
      <w:pPr>
        <w:pStyle w:val="af3"/>
        <w:spacing w:after="0" w:line="240" w:lineRule="exact"/>
        <w:ind w:right="198"/>
        <w:jc w:val="right"/>
        <w:rPr>
          <w:rFonts w:ascii="標楷體" w:eastAsia="標楷體" w:hAnsi="標楷體"/>
          <w:sz w:val="16"/>
        </w:rPr>
      </w:pPr>
      <w:r w:rsidRPr="00C37C18">
        <w:rPr>
          <w:rFonts w:ascii="標楷體" w:eastAsia="標楷體" w:hAnsi="標楷體"/>
          <w:sz w:val="16"/>
        </w:rPr>
        <w:t>國立新竹生活美學館101年5月2日竹美</w:t>
      </w:r>
      <w:proofErr w:type="gramStart"/>
      <w:r w:rsidRPr="00C37C18">
        <w:rPr>
          <w:rFonts w:ascii="標楷體" w:eastAsia="標楷體" w:hAnsi="標楷體"/>
          <w:sz w:val="16"/>
        </w:rPr>
        <w:t>研</w:t>
      </w:r>
      <w:proofErr w:type="gramEnd"/>
      <w:r w:rsidRPr="00C37C18">
        <w:rPr>
          <w:rFonts w:ascii="標楷體" w:eastAsia="標楷體" w:hAnsi="標楷體"/>
          <w:sz w:val="16"/>
        </w:rPr>
        <w:t>字第1012000323號令修正，並自中華民國101年5月20日生效</w:t>
      </w:r>
    </w:p>
    <w:p w:rsidR="00B959FC" w:rsidRPr="00C37C18" w:rsidRDefault="00715AC9" w:rsidP="00C37C18">
      <w:pPr>
        <w:pStyle w:val="af3"/>
        <w:spacing w:after="0" w:line="240" w:lineRule="exact"/>
        <w:ind w:right="198"/>
        <w:jc w:val="right"/>
        <w:rPr>
          <w:rFonts w:ascii="標楷體" w:eastAsia="標楷體" w:hAnsi="標楷體"/>
          <w:sz w:val="16"/>
        </w:rPr>
      </w:pPr>
      <w:r w:rsidRPr="00C37C18">
        <w:rPr>
          <w:rFonts w:ascii="標楷體" w:eastAsia="標楷體" w:hAnsi="標楷體"/>
          <w:sz w:val="16"/>
        </w:rPr>
        <w:t>文化部中華民國102年5月10</w:t>
      </w:r>
      <w:proofErr w:type="gramStart"/>
      <w:r w:rsidRPr="00C37C18">
        <w:rPr>
          <w:rFonts w:ascii="標楷體" w:eastAsia="標楷體" w:hAnsi="標楷體"/>
          <w:sz w:val="16"/>
        </w:rPr>
        <w:t>日文源字第1021010753號</w:t>
      </w:r>
      <w:proofErr w:type="gramEnd"/>
      <w:r w:rsidRPr="00C37C18">
        <w:rPr>
          <w:rFonts w:ascii="標楷體" w:eastAsia="標楷體" w:hAnsi="標楷體"/>
          <w:sz w:val="16"/>
        </w:rPr>
        <w:t>函核定修正</w:t>
      </w:r>
    </w:p>
    <w:p w:rsidR="00B959FC" w:rsidRPr="00C37C18" w:rsidRDefault="00715AC9" w:rsidP="00C37C18">
      <w:pPr>
        <w:pStyle w:val="af3"/>
        <w:spacing w:after="0" w:line="240" w:lineRule="exact"/>
        <w:ind w:right="198"/>
        <w:jc w:val="right"/>
        <w:rPr>
          <w:rFonts w:ascii="標楷體" w:eastAsia="標楷體" w:hAnsi="標楷體"/>
          <w:sz w:val="16"/>
        </w:rPr>
      </w:pPr>
      <w:r w:rsidRPr="00C37C18">
        <w:rPr>
          <w:rFonts w:ascii="標楷體" w:eastAsia="標楷體" w:hAnsi="標楷體"/>
          <w:sz w:val="16"/>
        </w:rPr>
        <w:t>國立臺灣美術館102年5月29日</w:t>
      </w:r>
      <w:proofErr w:type="gramStart"/>
      <w:r w:rsidRPr="00C37C18">
        <w:rPr>
          <w:rFonts w:ascii="標楷體" w:eastAsia="標楷體" w:hAnsi="標楷體"/>
          <w:sz w:val="16"/>
        </w:rPr>
        <w:t>臺美秘</w:t>
      </w:r>
      <w:proofErr w:type="gramEnd"/>
      <w:r w:rsidRPr="00C37C18">
        <w:rPr>
          <w:rFonts w:ascii="標楷體" w:eastAsia="標楷體" w:hAnsi="標楷體"/>
          <w:sz w:val="16"/>
        </w:rPr>
        <w:t>字第1023001283號令修正</w:t>
      </w:r>
    </w:p>
    <w:p w:rsidR="00B959FC" w:rsidRPr="00C37C18" w:rsidRDefault="00715AC9" w:rsidP="00C37C18">
      <w:pPr>
        <w:pStyle w:val="af3"/>
        <w:spacing w:after="0" w:line="240" w:lineRule="exact"/>
        <w:ind w:right="198"/>
        <w:jc w:val="right"/>
        <w:rPr>
          <w:rFonts w:ascii="標楷體" w:eastAsia="標楷體" w:hAnsi="標楷體"/>
          <w:sz w:val="16"/>
        </w:rPr>
      </w:pPr>
      <w:r w:rsidRPr="00C37C18">
        <w:rPr>
          <w:rFonts w:ascii="標楷體" w:eastAsia="標楷體" w:hAnsi="標楷體"/>
          <w:sz w:val="16"/>
        </w:rPr>
        <w:t>文化部中華民國104年9月30</w:t>
      </w:r>
      <w:proofErr w:type="gramStart"/>
      <w:r w:rsidRPr="00C37C18">
        <w:rPr>
          <w:rFonts w:ascii="標楷體" w:eastAsia="標楷體" w:hAnsi="標楷體"/>
          <w:sz w:val="16"/>
        </w:rPr>
        <w:t>日文源字第1043026443號</w:t>
      </w:r>
      <w:proofErr w:type="gramEnd"/>
      <w:r w:rsidRPr="00C37C18">
        <w:rPr>
          <w:rFonts w:ascii="標楷體" w:eastAsia="標楷體" w:hAnsi="標楷體"/>
          <w:sz w:val="16"/>
        </w:rPr>
        <w:t>函核定修正</w:t>
      </w:r>
    </w:p>
    <w:p w:rsidR="00B959FC" w:rsidRPr="00C37C18" w:rsidRDefault="00715AC9" w:rsidP="00C37C18">
      <w:pPr>
        <w:pStyle w:val="af3"/>
        <w:spacing w:after="0" w:line="240" w:lineRule="exact"/>
        <w:ind w:right="198"/>
        <w:jc w:val="right"/>
        <w:rPr>
          <w:rFonts w:ascii="標楷體" w:eastAsia="標楷體" w:hAnsi="標楷體"/>
          <w:sz w:val="16"/>
        </w:rPr>
      </w:pPr>
      <w:r w:rsidRPr="00C37C18">
        <w:rPr>
          <w:rFonts w:ascii="標楷體" w:eastAsia="標楷體" w:hAnsi="標楷體"/>
          <w:sz w:val="16"/>
        </w:rPr>
        <w:t>國立新竹生活美學館104年11月6日竹美</w:t>
      </w:r>
      <w:proofErr w:type="gramStart"/>
      <w:r w:rsidRPr="00C37C18">
        <w:rPr>
          <w:rFonts w:ascii="標楷體" w:eastAsia="標楷體" w:hAnsi="標楷體"/>
          <w:sz w:val="16"/>
        </w:rPr>
        <w:t>研</w:t>
      </w:r>
      <w:proofErr w:type="gramEnd"/>
      <w:r w:rsidRPr="00C37C18">
        <w:rPr>
          <w:rFonts w:ascii="標楷體" w:eastAsia="標楷體" w:hAnsi="標楷體"/>
          <w:sz w:val="16"/>
        </w:rPr>
        <w:t>字第1043001827號令修正</w:t>
      </w:r>
    </w:p>
    <w:p w:rsidR="00B959FC" w:rsidRPr="00C37C18" w:rsidRDefault="00715AC9" w:rsidP="00C37C18">
      <w:pPr>
        <w:pStyle w:val="af3"/>
        <w:spacing w:after="0" w:line="240" w:lineRule="exact"/>
        <w:ind w:right="198"/>
        <w:jc w:val="right"/>
        <w:rPr>
          <w:rFonts w:ascii="標楷體" w:eastAsia="標楷體" w:hAnsi="標楷體"/>
          <w:sz w:val="16"/>
        </w:rPr>
      </w:pPr>
      <w:r w:rsidRPr="00C37C18">
        <w:rPr>
          <w:rFonts w:ascii="標楷體" w:eastAsia="標楷體" w:hAnsi="標楷體"/>
          <w:sz w:val="16"/>
        </w:rPr>
        <w:t>文化部中華民國106年1月12</w:t>
      </w:r>
      <w:proofErr w:type="gramStart"/>
      <w:r w:rsidRPr="00C37C18">
        <w:rPr>
          <w:rFonts w:ascii="標楷體" w:eastAsia="標楷體" w:hAnsi="標楷體"/>
          <w:sz w:val="16"/>
        </w:rPr>
        <w:t>日文源字第1063000822號</w:t>
      </w:r>
      <w:proofErr w:type="gramEnd"/>
      <w:r w:rsidRPr="00C37C18">
        <w:rPr>
          <w:rFonts w:ascii="標楷體" w:eastAsia="標楷體" w:hAnsi="標楷體"/>
          <w:sz w:val="16"/>
        </w:rPr>
        <w:t>函核定修正</w:t>
      </w:r>
    </w:p>
    <w:p w:rsidR="00B959FC" w:rsidRPr="00C37C18" w:rsidRDefault="00715AC9" w:rsidP="00C37C18">
      <w:pPr>
        <w:pStyle w:val="af3"/>
        <w:spacing w:after="0" w:line="240" w:lineRule="exact"/>
        <w:ind w:right="198"/>
        <w:jc w:val="right"/>
        <w:rPr>
          <w:rFonts w:ascii="標楷體" w:eastAsia="標楷體" w:hAnsi="標楷體"/>
          <w:sz w:val="16"/>
        </w:rPr>
      </w:pPr>
      <w:r w:rsidRPr="00C37C18">
        <w:rPr>
          <w:rFonts w:ascii="標楷體" w:eastAsia="標楷體" w:hAnsi="標楷體"/>
          <w:sz w:val="16"/>
        </w:rPr>
        <w:t>國立新竹生活美學館106年2月10日竹美</w:t>
      </w:r>
      <w:proofErr w:type="gramStart"/>
      <w:r w:rsidRPr="00C37C18">
        <w:rPr>
          <w:rFonts w:ascii="標楷體" w:eastAsia="標楷體" w:hAnsi="標楷體"/>
          <w:sz w:val="16"/>
        </w:rPr>
        <w:t>研</w:t>
      </w:r>
      <w:proofErr w:type="gramEnd"/>
      <w:r w:rsidRPr="00C37C18">
        <w:rPr>
          <w:rFonts w:ascii="標楷體" w:eastAsia="標楷體" w:hAnsi="標楷體"/>
          <w:sz w:val="16"/>
        </w:rPr>
        <w:t xml:space="preserve">字第1063000058號令修正 </w:t>
      </w:r>
    </w:p>
    <w:p w:rsidR="00B959FC" w:rsidRPr="000413B5" w:rsidRDefault="00715AC9">
      <w:pPr>
        <w:spacing w:after="0" w:line="240" w:lineRule="auto"/>
        <w:ind w:left="538" w:hanging="538"/>
        <w:jc w:val="both"/>
        <w:rPr>
          <w:rFonts w:ascii="標楷體" w:eastAsia="標楷體" w:hAnsi="標楷體" w:cs="新細明體;PMingLiU"/>
          <w:b/>
          <w:color w:val="000000"/>
          <w:sz w:val="24"/>
          <w:szCs w:val="24"/>
          <w:lang w:bidi="ar-SA"/>
        </w:rPr>
      </w:pPr>
      <w:r w:rsidRPr="000413B5">
        <w:rPr>
          <w:rFonts w:ascii="標楷體" w:eastAsia="標楷體" w:hAnsi="標楷體" w:cs="新細明體;PMingLiU"/>
          <w:b/>
          <w:color w:val="000000"/>
          <w:sz w:val="24"/>
          <w:szCs w:val="24"/>
          <w:lang w:bidi="ar-SA"/>
        </w:rPr>
        <w:t>一、目的：</w:t>
      </w:r>
    </w:p>
    <w:p w:rsidR="00B959FC" w:rsidRDefault="00715AC9">
      <w:pPr>
        <w:spacing w:line="360" w:lineRule="exact"/>
        <w:ind w:left="440"/>
      </w:pPr>
      <w:r>
        <w:rPr>
          <w:rFonts w:ascii="標楷體" w:eastAsia="標楷體" w:hAnsi="標楷體" w:cs="標楷體"/>
          <w:color w:val="000000"/>
          <w:sz w:val="24"/>
          <w:szCs w:val="24"/>
        </w:rPr>
        <w:t>國立新竹生活美學館（以下簡稱本館）為推動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北部九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縣市文化生活圈區域內生活美學運動，鼓勵社區或民間組織積極參與公共事務，培養居民生活美學觀念與態度，特訂定本要點</w:t>
      </w:r>
      <w:r>
        <w:rPr>
          <w:rFonts w:ascii="標楷體" w:eastAsia="標楷體" w:hAnsi="標楷體" w:cs="標楷體"/>
          <w:b/>
          <w:color w:val="000000"/>
          <w:sz w:val="24"/>
          <w:szCs w:val="24"/>
        </w:rPr>
        <w:t>。</w:t>
      </w:r>
    </w:p>
    <w:p w:rsidR="00B959FC" w:rsidRPr="000413B5" w:rsidRDefault="00715AC9">
      <w:pPr>
        <w:spacing w:after="0" w:line="240" w:lineRule="auto"/>
        <w:ind w:left="538" w:hanging="538"/>
        <w:jc w:val="both"/>
        <w:rPr>
          <w:rFonts w:ascii="標楷體" w:eastAsia="標楷體" w:hAnsi="標楷體" w:cs="新細明體;PMingLiU"/>
          <w:b/>
          <w:color w:val="000000"/>
          <w:sz w:val="24"/>
          <w:szCs w:val="24"/>
          <w:lang w:bidi="ar-SA"/>
        </w:rPr>
      </w:pPr>
      <w:r w:rsidRPr="000413B5">
        <w:rPr>
          <w:rFonts w:ascii="標楷體" w:eastAsia="標楷體" w:hAnsi="標楷體" w:cs="新細明體;PMingLiU"/>
          <w:b/>
          <w:color w:val="000000"/>
          <w:sz w:val="24"/>
          <w:szCs w:val="24"/>
          <w:lang w:bidi="ar-SA"/>
        </w:rPr>
        <w:t>二、補助對象：</w:t>
      </w:r>
    </w:p>
    <w:p w:rsidR="00B959FC" w:rsidRDefault="00715AC9">
      <w:pPr>
        <w:spacing w:after="0" w:line="240" w:lineRule="auto"/>
        <w:ind w:left="538" w:hanging="538"/>
        <w:jc w:val="both"/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(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)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北部九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縣市（宜蘭縣、基隆市、臺北市、新北市、桃園市、新竹縣、新竹市、苗栗縣及連江縣）文化生活圈內合法</w:t>
      </w:r>
      <w:r>
        <w:rPr>
          <w:rFonts w:ascii="標楷體" w:eastAsia="標楷體" w:hAnsi="標楷體" w:cs="新細明體;PMingLiU"/>
          <w:color w:val="000000"/>
          <w:sz w:val="24"/>
          <w:szCs w:val="24"/>
        </w:rPr>
        <w:t>立案之民間團體（政黨除外）。</w:t>
      </w:r>
    </w:p>
    <w:p w:rsidR="00B959FC" w:rsidRDefault="00715AC9">
      <w:pPr>
        <w:spacing w:after="0" w:line="240" w:lineRule="auto"/>
        <w:ind w:left="538" w:hanging="538"/>
        <w:jc w:val="both"/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(二)</w:t>
      </w:r>
      <w:r>
        <w:rPr>
          <w:rFonts w:ascii="標楷體" w:eastAsia="標楷體" w:hAnsi="標楷體" w:cs="新細明體;PMingLiU"/>
          <w:color w:val="000000"/>
          <w:sz w:val="24"/>
          <w:szCs w:val="24"/>
        </w:rPr>
        <w:t>通過本館申請展、主題展審查或本館邀請展演之藝文人士。</w:t>
      </w:r>
    </w:p>
    <w:p w:rsidR="00B959FC" w:rsidRPr="000413B5" w:rsidRDefault="00715AC9">
      <w:pPr>
        <w:spacing w:after="0" w:line="240" w:lineRule="auto"/>
        <w:ind w:left="720" w:hanging="720"/>
        <w:rPr>
          <w:rFonts w:ascii="標楷體" w:eastAsia="標楷體" w:hAnsi="標楷體" w:cs="新細明體;PMingLiU"/>
          <w:b/>
          <w:color w:val="000000"/>
          <w:sz w:val="24"/>
          <w:szCs w:val="24"/>
          <w:lang w:bidi="ar-SA"/>
        </w:rPr>
      </w:pPr>
      <w:r w:rsidRPr="000413B5">
        <w:rPr>
          <w:rFonts w:ascii="標楷體" w:eastAsia="標楷體" w:hAnsi="標楷體" w:cs="新細明體;PMingLiU"/>
          <w:b/>
          <w:color w:val="000000"/>
          <w:sz w:val="24"/>
          <w:szCs w:val="24"/>
          <w:lang w:bidi="ar-SA"/>
        </w:rPr>
        <w:t>三、補助項目：</w:t>
      </w:r>
    </w:p>
    <w:p w:rsidR="00B959FC" w:rsidRDefault="00715AC9">
      <w:pPr>
        <w:spacing w:after="0" w:line="240" w:lineRule="auto"/>
        <w:ind w:firstLine="12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（一）推展生活美學相關理念、研習、研究、交流觀摩及展演等活動。</w:t>
      </w:r>
    </w:p>
    <w:p w:rsidR="00B959FC" w:rsidRDefault="00715AC9">
      <w:pPr>
        <w:spacing w:after="0" w:line="240" w:lineRule="auto"/>
        <w:ind w:firstLine="12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（二）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辦理具常民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文化內涵之研習、研究、研討會等活動。</w:t>
      </w:r>
    </w:p>
    <w:p w:rsidR="00B959FC" w:rsidRDefault="00715AC9">
      <w:pPr>
        <w:spacing w:after="0" w:line="240" w:lineRule="auto"/>
        <w:ind w:firstLine="12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（三）推動地方文化藝術發展及在地創意產業之相關研習、研究、推廣活動等。</w:t>
      </w:r>
    </w:p>
    <w:p w:rsidR="00B959FC" w:rsidRDefault="00715AC9">
      <w:pPr>
        <w:spacing w:after="0" w:line="240" w:lineRule="auto"/>
        <w:ind w:left="11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（四）推動性別主流化、高齡、新住民、原住民等議題之相關藝文研習、推廣活動等。</w:t>
      </w:r>
    </w:p>
    <w:p w:rsidR="00B959FC" w:rsidRDefault="00715AC9">
      <w:pPr>
        <w:spacing w:after="0" w:line="240" w:lineRule="auto"/>
        <w:ind w:left="710" w:hanging="600"/>
      </w:pPr>
      <w:r>
        <w:rPr>
          <w:rFonts w:ascii="標楷體" w:eastAsia="標楷體" w:hAnsi="標楷體" w:cs="標楷體"/>
          <w:color w:val="000000"/>
          <w:sz w:val="24"/>
          <w:szCs w:val="24"/>
        </w:rPr>
        <w:t>（五）為落實文化平權，對於有助於提升身心障礙者文化近用權之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計畫得優予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補助</w:t>
      </w: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。</w:t>
      </w:r>
    </w:p>
    <w:p w:rsidR="00B959FC" w:rsidRPr="000413B5" w:rsidRDefault="00715AC9">
      <w:pPr>
        <w:spacing w:after="0" w:line="240" w:lineRule="auto"/>
        <w:jc w:val="both"/>
        <w:rPr>
          <w:rFonts w:ascii="標楷體" w:eastAsia="標楷體" w:hAnsi="標楷體" w:cs="新細明體;PMingLiU"/>
          <w:b/>
          <w:color w:val="000000"/>
          <w:sz w:val="24"/>
          <w:szCs w:val="24"/>
          <w:lang w:bidi="ar-SA"/>
        </w:rPr>
      </w:pPr>
      <w:r w:rsidRPr="000413B5">
        <w:rPr>
          <w:rFonts w:ascii="標楷體" w:eastAsia="標楷體" w:hAnsi="標楷體" w:cs="新細明體;PMingLiU"/>
          <w:b/>
          <w:color w:val="000000"/>
          <w:sz w:val="24"/>
          <w:szCs w:val="24"/>
          <w:lang w:bidi="ar-SA"/>
        </w:rPr>
        <w:t>四、補助標準：</w:t>
      </w:r>
    </w:p>
    <w:p w:rsidR="00B959FC" w:rsidRDefault="00715AC9">
      <w:pPr>
        <w:spacing w:after="0" w:line="240" w:lineRule="auto"/>
        <w:ind w:left="830" w:hanging="720"/>
        <w:jc w:val="both"/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（一）</w:t>
      </w:r>
      <w:r>
        <w:rPr>
          <w:rFonts w:ascii="標楷體" w:eastAsia="標楷體" w:hAnsi="標楷體" w:cs="新細明體;PMingLiU"/>
          <w:color w:val="000000"/>
          <w:sz w:val="24"/>
          <w:szCs w:val="24"/>
        </w:rPr>
        <w:t>一般補助：各社區生活美學及藝文推廣活動、通過本館申請展、本館邀請展演之藝文人士，每案補助以不超過新臺幣十萬元為原則。</w:t>
      </w:r>
    </w:p>
    <w:p w:rsidR="00B959FC" w:rsidRDefault="00715AC9">
      <w:pPr>
        <w:pStyle w:val="21"/>
        <w:spacing w:line="240" w:lineRule="auto"/>
        <w:ind w:left="829" w:hanging="677"/>
      </w:pPr>
      <w:r>
        <w:rPr>
          <w:rFonts w:cs="新細明體;PMingLiU"/>
        </w:rPr>
        <w:t>（二）專案補助：配合本館政策辦理跨縣市生活美學及藝文推廣活動、通過本館主題展審查，或</w:t>
      </w:r>
      <w:r>
        <w:t>對整體生活美學政策推動有重大助益者，</w:t>
      </w:r>
      <w:r>
        <w:rPr>
          <w:rFonts w:cs="新細明體;PMingLiU"/>
        </w:rPr>
        <w:t>得依申請案件內容，</w:t>
      </w:r>
      <w:proofErr w:type="gramStart"/>
      <w:r>
        <w:rPr>
          <w:rFonts w:cs="新細明體;PMingLiU"/>
        </w:rPr>
        <w:t>覈</w:t>
      </w:r>
      <w:proofErr w:type="gramEnd"/>
      <w:r>
        <w:rPr>
          <w:rFonts w:cs="新細明體;PMingLiU"/>
        </w:rPr>
        <w:t>實審定補助金額，延續性計畫並得一次核定跨年度補助。</w:t>
      </w:r>
    </w:p>
    <w:p w:rsidR="00B959FC" w:rsidRPr="000413B5" w:rsidRDefault="00715AC9">
      <w:pPr>
        <w:spacing w:after="0" w:line="240" w:lineRule="auto"/>
        <w:rPr>
          <w:rFonts w:ascii="標楷體" w:eastAsia="標楷體" w:hAnsi="標楷體" w:cs="新細明體;PMingLiU"/>
          <w:b/>
          <w:color w:val="000000"/>
          <w:sz w:val="24"/>
          <w:szCs w:val="24"/>
          <w:lang w:bidi="ar-SA"/>
        </w:rPr>
      </w:pPr>
      <w:r w:rsidRPr="000413B5">
        <w:rPr>
          <w:rFonts w:ascii="標楷體" w:eastAsia="標楷體" w:hAnsi="標楷體" w:cs="新細明體;PMingLiU"/>
          <w:b/>
          <w:color w:val="000000"/>
          <w:sz w:val="24"/>
          <w:szCs w:val="24"/>
          <w:lang w:bidi="ar-SA"/>
        </w:rPr>
        <w:t>五、申請時間及應備文件</w:t>
      </w:r>
    </w:p>
    <w:p w:rsidR="00B959FC" w:rsidRDefault="00715AC9">
      <w:pPr>
        <w:spacing w:after="0" w:line="240" w:lineRule="auto"/>
        <w:ind w:left="830" w:hanging="720"/>
        <w:jc w:val="both"/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（一）一般補助：每年分上、下半年開放受理申請二次為原則，得配合本館年度作業公告受理申請期間。</w:t>
      </w:r>
    </w:p>
    <w:p w:rsidR="00B959FC" w:rsidRDefault="00715AC9">
      <w:pPr>
        <w:spacing w:after="0" w:line="240" w:lineRule="auto"/>
        <w:ind w:left="830" w:hanging="720"/>
        <w:jc w:val="both"/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（二）專案補助：</w:t>
      </w:r>
      <w:r>
        <w:rPr>
          <w:rFonts w:ascii="標楷體" w:eastAsia="標楷體" w:hAnsi="標楷體" w:cs="新細明體;PMingLiU"/>
          <w:color w:val="000000"/>
          <w:sz w:val="24"/>
          <w:szCs w:val="24"/>
        </w:rPr>
        <w:t>受理申請期間由本館另行公告，但</w:t>
      </w:r>
      <w:r>
        <w:rPr>
          <w:rFonts w:ascii="標楷體" w:eastAsia="標楷體" w:hAnsi="標楷體" w:cs="標楷體"/>
          <w:color w:val="000000"/>
          <w:sz w:val="24"/>
          <w:szCs w:val="24"/>
        </w:rPr>
        <w:t>對整體生活美學政策推動有重大助益或具時效性者</w:t>
      </w:r>
      <w:r>
        <w:rPr>
          <w:rFonts w:ascii="標楷體" w:eastAsia="標楷體" w:hAnsi="標楷體" w:cs="新細明體;PMingLiU"/>
          <w:color w:val="000000"/>
          <w:sz w:val="24"/>
          <w:szCs w:val="24"/>
        </w:rPr>
        <w:t>，不在此限。</w:t>
      </w:r>
    </w:p>
    <w:p w:rsidR="00B959FC" w:rsidRDefault="00715AC9">
      <w:pPr>
        <w:spacing w:after="0" w:line="240" w:lineRule="auto"/>
        <w:ind w:left="830" w:hanging="720"/>
        <w:jc w:val="both"/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（三）依本要點申請補助者，應於受理申請期限內，來函檢具經費補助申請表、計畫書及立（備）案證書影本（一律雙面列印</w:t>
      </w:r>
      <w:r>
        <w:rPr>
          <w:rFonts w:ascii="標楷體" w:eastAsia="標楷體" w:hAnsi="標楷體" w:cs="新細明體;PMingLiU"/>
          <w:color w:val="000000"/>
          <w:sz w:val="24"/>
          <w:szCs w:val="24"/>
        </w:rPr>
        <w:t>為原則</w:t>
      </w: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）及電子</w:t>
      </w:r>
      <w:proofErr w:type="gramStart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檔</w:t>
      </w:r>
      <w:proofErr w:type="gramEnd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光碟</w:t>
      </w:r>
      <w:r>
        <w:rPr>
          <w:rFonts w:ascii="標楷體" w:eastAsia="標楷體" w:hAnsi="標楷體" w:cs="新細明體;PMingLiU"/>
          <w:color w:val="000000"/>
          <w:sz w:val="24"/>
          <w:szCs w:val="24"/>
        </w:rPr>
        <w:t>各一份（繳交份數另有規定者從其規定）</w:t>
      </w: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，以掛號郵寄(以郵戳為憑)或專人送達方式提出申</w:t>
      </w: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lastRenderedPageBreak/>
        <w:t>請。</w:t>
      </w:r>
      <w:proofErr w:type="gramStart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缺件</w:t>
      </w:r>
      <w:proofErr w:type="gramEnd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、逾期或資料與規定不符者不予受理。無論補助與否，所送文件均不予退還。</w:t>
      </w:r>
    </w:p>
    <w:p w:rsidR="00B959FC" w:rsidRPr="000413B5" w:rsidRDefault="00715AC9">
      <w:pPr>
        <w:spacing w:after="0" w:line="240" w:lineRule="auto"/>
        <w:jc w:val="both"/>
        <w:rPr>
          <w:b/>
        </w:rPr>
      </w:pPr>
      <w:r w:rsidRPr="000413B5">
        <w:rPr>
          <w:rFonts w:ascii="標楷體" w:eastAsia="標楷體" w:hAnsi="標楷體" w:cs="新細明體;PMingLiU"/>
          <w:b/>
          <w:color w:val="000000"/>
          <w:sz w:val="24"/>
          <w:szCs w:val="24"/>
          <w:lang w:bidi="ar-SA"/>
        </w:rPr>
        <w:t>六、</w:t>
      </w:r>
      <w:r w:rsidRPr="000413B5">
        <w:rPr>
          <w:rFonts w:ascii="標楷體" w:eastAsia="標楷體" w:hAnsi="標楷體" w:cs="新細明體;PMingLiU"/>
          <w:b/>
          <w:color w:val="000000"/>
          <w:sz w:val="24"/>
          <w:szCs w:val="24"/>
        </w:rPr>
        <w:t>作業程序及審查標準</w:t>
      </w:r>
    </w:p>
    <w:p w:rsidR="00B959FC" w:rsidRDefault="00715AC9">
      <w:pPr>
        <w:spacing w:after="0" w:line="240" w:lineRule="auto"/>
        <w:ind w:left="830" w:hanging="720"/>
        <w:jc w:val="both"/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（一）作業程序：</w:t>
      </w:r>
    </w:p>
    <w:p w:rsidR="00B959FC" w:rsidRDefault="00715AC9">
      <w:pPr>
        <w:spacing w:after="0" w:line="240" w:lineRule="auto"/>
        <w:ind w:left="1010" w:hanging="240"/>
        <w:jc w:val="both"/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1. 由本館籌組審查委員會（館外委員需達委員總數三分之一以上，且不得少於二人）審查各單位實施計畫，審查會議於聘任委員前，告知將公開審查委員名單，並</w:t>
      </w:r>
      <w:proofErr w:type="gramStart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請其填具</w:t>
      </w:r>
      <w:proofErr w:type="gramEnd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同意書同意公開。審查委員名單於會議結束後，公告於本</w:t>
      </w:r>
      <w:proofErr w:type="gramStart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館官網</w:t>
      </w:r>
      <w:proofErr w:type="gramEnd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。</w:t>
      </w:r>
    </w:p>
    <w:p w:rsidR="00B959FC" w:rsidRDefault="00715AC9">
      <w:pPr>
        <w:spacing w:after="0" w:line="240" w:lineRule="auto"/>
        <w:ind w:left="1010" w:hanging="240"/>
        <w:jc w:val="both"/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2.審核申請計畫書及補助金額，必要時申請單位得派員說明，審查結果並經機關首長或其授權代表同意後核定。評審委員如有行政程序法第三十二、三十三條規定情形者，應行迴避。</w:t>
      </w:r>
    </w:p>
    <w:p w:rsidR="00B959FC" w:rsidRDefault="00715AC9">
      <w:pPr>
        <w:spacing w:after="0" w:line="240" w:lineRule="auto"/>
        <w:ind w:left="1010" w:hanging="240"/>
        <w:jc w:val="both"/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3.各申請案之審核結果</w:t>
      </w:r>
      <w:r>
        <w:rPr>
          <w:rFonts w:ascii="新細明體;PMingLiU" w:hAnsi="新細明體;PMingLiU" w:cs="新細明體;PMingLiU"/>
          <w:color w:val="000000"/>
          <w:sz w:val="24"/>
          <w:szCs w:val="24"/>
          <w:lang w:bidi="ar-SA"/>
        </w:rPr>
        <w:t>，</w:t>
      </w: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本館核定後正式函知申請單位</w:t>
      </w:r>
      <w:r>
        <w:rPr>
          <w:rFonts w:ascii="新細明體;PMingLiU" w:hAnsi="新細明體;PMingLiU" w:cs="新細明體;PMingLiU"/>
          <w:color w:val="000000"/>
          <w:sz w:val="24"/>
          <w:szCs w:val="24"/>
          <w:lang w:bidi="ar-SA"/>
        </w:rPr>
        <w:t>，</w:t>
      </w: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並公告於本</w:t>
      </w:r>
      <w:proofErr w:type="gramStart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館官網</w:t>
      </w:r>
      <w:proofErr w:type="gramEnd"/>
      <w:r>
        <w:rPr>
          <w:rFonts w:ascii="新細明體;PMingLiU" w:hAnsi="新細明體;PMingLiU" w:cs="新細明體;PMingLiU"/>
          <w:color w:val="000000"/>
          <w:sz w:val="24"/>
          <w:szCs w:val="24"/>
          <w:lang w:bidi="ar-SA"/>
        </w:rPr>
        <w:t>，</w:t>
      </w: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審核結果之公開包括受補助對象、計畫名稱及補助金額。</w:t>
      </w:r>
    </w:p>
    <w:p w:rsidR="00B959FC" w:rsidRDefault="00715AC9">
      <w:pPr>
        <w:spacing w:after="0" w:line="240" w:lineRule="auto"/>
        <w:ind w:left="830" w:hanging="720"/>
        <w:jc w:val="both"/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（二）</w:t>
      </w:r>
      <w:r>
        <w:rPr>
          <w:rFonts w:ascii="標楷體" w:eastAsia="標楷體" w:hAnsi="標楷體" w:cs="新細明體;PMingLiU"/>
          <w:color w:val="000000"/>
          <w:sz w:val="24"/>
          <w:szCs w:val="24"/>
        </w:rPr>
        <w:t>審查標準：</w:t>
      </w:r>
    </w:p>
    <w:p w:rsidR="00B959FC" w:rsidRDefault="00715AC9">
      <w:pPr>
        <w:spacing w:after="0" w:line="240" w:lineRule="auto"/>
        <w:ind w:left="1010" w:hanging="240"/>
        <w:jc w:val="both"/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1.同一單位每年獲補助案件至多二案為限（一般補助與專案補助合併計算），惟配合本館需要所策辦之活動，經本館同意者，不在此限。</w:t>
      </w:r>
    </w:p>
    <w:p w:rsidR="00B959FC" w:rsidRDefault="00715AC9">
      <w:pPr>
        <w:spacing w:after="0" w:line="240" w:lineRule="auto"/>
        <w:ind w:left="1010" w:hanging="240"/>
        <w:jc w:val="both"/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2.單一申請案補助經費達新臺幣</w:t>
      </w:r>
      <w:proofErr w:type="gramStart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一</w:t>
      </w:r>
      <w:proofErr w:type="gramEnd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 xml:space="preserve">百萬元以上者，應有專業參與，並需提出計畫主持人或協同主持人。 </w:t>
      </w:r>
    </w:p>
    <w:p w:rsidR="00B959FC" w:rsidRDefault="00715AC9">
      <w:pPr>
        <w:spacing w:after="0" w:line="240" w:lineRule="auto"/>
        <w:ind w:left="1010" w:hanging="240"/>
        <w:jc w:val="both"/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3.同一申請對象之同一案件已獲</w:t>
      </w:r>
      <w:proofErr w:type="gramStart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文化部及其</w:t>
      </w:r>
      <w:proofErr w:type="gramEnd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附屬機關、國家表演藝術中心、國家文化藝術基金會補助者；實施計畫填寫不實、不全或經費概算編寫</w:t>
      </w:r>
      <w:proofErr w:type="gramStart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浮濫者</w:t>
      </w:r>
      <w:proofErr w:type="gramEnd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；活動內容涉及政治性議題者，不予補助。</w:t>
      </w:r>
    </w:p>
    <w:p w:rsidR="00B959FC" w:rsidRDefault="00715AC9">
      <w:pPr>
        <w:spacing w:after="0" w:line="240" w:lineRule="auto"/>
        <w:ind w:left="1010" w:hanging="240"/>
        <w:jc w:val="both"/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4.例行性祭典、民俗節慶活動、嘉年華會及康樂活動等原則上不予補助，惟對文化發展有重大影響者，不在此限。</w:t>
      </w:r>
    </w:p>
    <w:p w:rsidR="00B959FC" w:rsidRDefault="00715AC9">
      <w:pPr>
        <w:spacing w:after="0" w:line="240" w:lineRule="auto"/>
        <w:ind w:left="1010" w:hanging="240"/>
        <w:jc w:val="both"/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5.本要點補助項目包含演出費、講師費、出席費、場地租借費、場地佈置費、器材租用費、材料費、講義費、印刷費、行銷宣傳廣告費、差旅費（含交通費及住宿費）、誤餐費等經常性支出，但不包含受補助對象之人事及行政管理費（團體內部水電費、電話費、燃料費及設備維護等費用）。</w:t>
      </w:r>
    </w:p>
    <w:p w:rsidR="00B959FC" w:rsidRPr="000413B5" w:rsidRDefault="00715AC9">
      <w:pPr>
        <w:spacing w:after="0" w:line="240" w:lineRule="auto"/>
        <w:ind w:left="1080" w:hanging="1080"/>
        <w:rPr>
          <w:rFonts w:ascii="標楷體" w:eastAsia="標楷體" w:hAnsi="標楷體" w:cs="新細明體;PMingLiU"/>
          <w:b/>
          <w:color w:val="000000"/>
          <w:sz w:val="24"/>
          <w:szCs w:val="24"/>
          <w:lang w:bidi="ar-SA"/>
        </w:rPr>
      </w:pPr>
      <w:r w:rsidRPr="000413B5">
        <w:rPr>
          <w:rFonts w:ascii="標楷體" w:eastAsia="標楷體" w:hAnsi="標楷體" w:cs="新細明體;PMingLiU"/>
          <w:b/>
          <w:color w:val="000000"/>
          <w:sz w:val="24"/>
          <w:szCs w:val="24"/>
          <w:lang w:bidi="ar-SA"/>
        </w:rPr>
        <w:t>七、經費</w:t>
      </w:r>
      <w:proofErr w:type="gramStart"/>
      <w:r w:rsidRPr="000413B5">
        <w:rPr>
          <w:rFonts w:ascii="標楷體" w:eastAsia="標楷體" w:hAnsi="標楷體" w:cs="新細明體;PMingLiU"/>
          <w:b/>
          <w:color w:val="000000"/>
          <w:sz w:val="24"/>
          <w:szCs w:val="24"/>
          <w:lang w:bidi="ar-SA"/>
        </w:rPr>
        <w:t>核撥與核銷</w:t>
      </w:r>
      <w:proofErr w:type="gramEnd"/>
    </w:p>
    <w:p w:rsidR="00B959FC" w:rsidRDefault="00715AC9">
      <w:pPr>
        <w:spacing w:after="0" w:line="240" w:lineRule="auto"/>
        <w:ind w:left="830" w:hanging="720"/>
        <w:jc w:val="both"/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（一）本館核定之補助案件，應於活動結束後三十日內</w:t>
      </w:r>
      <w:proofErr w:type="gramStart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備函檢附領</w:t>
      </w:r>
      <w:proofErr w:type="gramEnd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據</w:t>
      </w:r>
      <w:r>
        <w:rPr>
          <w:rFonts w:ascii="標楷體" w:eastAsia="標楷體" w:hAnsi="標楷體" w:cs="新細明體;PMingLiU"/>
          <w:color w:val="000000"/>
          <w:sz w:val="24"/>
          <w:szCs w:val="24"/>
        </w:rPr>
        <w:t>、</w:t>
      </w: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原始支出憑證、成果報告書</w:t>
      </w:r>
      <w:r>
        <w:rPr>
          <w:rFonts w:ascii="標楷體" w:eastAsia="標楷體" w:hAnsi="標楷體" w:cs="新細明體;PMingLiU"/>
          <w:color w:val="000000"/>
          <w:sz w:val="24"/>
          <w:szCs w:val="24"/>
        </w:rPr>
        <w:t>及未向</w:t>
      </w:r>
      <w:proofErr w:type="gramStart"/>
      <w:r>
        <w:rPr>
          <w:rFonts w:ascii="標楷體" w:eastAsia="標楷體" w:hAnsi="標楷體" w:cs="新細明體;PMingLiU"/>
          <w:color w:val="000000"/>
          <w:sz w:val="24"/>
          <w:szCs w:val="24"/>
        </w:rPr>
        <w:t>文化部及其</w:t>
      </w:r>
      <w:proofErr w:type="gramEnd"/>
      <w:r>
        <w:rPr>
          <w:rFonts w:ascii="標楷體" w:eastAsia="標楷體" w:hAnsi="標楷體" w:cs="新細明體;PMingLiU"/>
          <w:color w:val="000000"/>
          <w:sz w:val="24"/>
          <w:szCs w:val="24"/>
        </w:rPr>
        <w:t>附屬機關、國家表演藝術中心、國家文化藝術基金會重複申請補（捐）助之切結書</w:t>
      </w: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等資料，</w:t>
      </w:r>
      <w:proofErr w:type="gramStart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俾</w:t>
      </w:r>
      <w:proofErr w:type="gramEnd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憑辦理核銷撥款。</w:t>
      </w:r>
    </w:p>
    <w:p w:rsidR="00B959FC" w:rsidRDefault="00715AC9">
      <w:pPr>
        <w:spacing w:after="0" w:line="240" w:lineRule="auto"/>
        <w:ind w:left="830" w:hanging="720"/>
        <w:jc w:val="both"/>
      </w:pPr>
      <w:r>
        <w:rPr>
          <w:rFonts w:ascii="標楷體" w:eastAsia="標楷體" w:hAnsi="標楷體" w:cs="標楷體"/>
          <w:color w:val="000000"/>
          <w:sz w:val="24"/>
          <w:szCs w:val="24"/>
          <w:lang w:bidi="ar-SA"/>
        </w:rPr>
        <w:t xml:space="preserve"> </w:t>
      </w: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(二)各項補助</w:t>
      </w:r>
      <w:proofErr w:type="gramStart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計畫均須於</w:t>
      </w:r>
      <w:proofErr w:type="gramEnd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當年度結束前辦理核銷作業，若計畫執行完畢時間在十二月份，受補助對象應於十二月二十日前辦理核銷作業；未</w:t>
      </w:r>
      <w:r>
        <w:rPr>
          <w:rFonts w:ascii="標楷體" w:eastAsia="標楷體" w:hAnsi="標楷體" w:cs="新細明體;PMingLiU"/>
          <w:color w:val="000000"/>
          <w:sz w:val="24"/>
          <w:szCs w:val="24"/>
        </w:rPr>
        <w:t>能如期辦理核銷，並逾十二月三十一日國庫收支結束時，未撥付款項</w:t>
      </w: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不再撥付，已撥付但尚未核銷之款項應繳回本館，解繳國庫。</w:t>
      </w:r>
    </w:p>
    <w:p w:rsidR="00B959FC" w:rsidRDefault="00715AC9">
      <w:pPr>
        <w:spacing w:after="0" w:line="240" w:lineRule="auto"/>
        <w:ind w:left="830" w:hanging="720"/>
        <w:jc w:val="both"/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（三）補助款超過新臺幣十萬元之案件，得以分期撥款方式並簽訂契約辦理。跨年度之申請補助案件，</w:t>
      </w:r>
      <w:proofErr w:type="gramStart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本館得一次</w:t>
      </w:r>
      <w:proofErr w:type="gramEnd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核定，依計畫實際執行進度，分年分期撥付經費。</w:t>
      </w:r>
    </w:p>
    <w:p w:rsidR="00B959FC" w:rsidRDefault="00715AC9">
      <w:pPr>
        <w:spacing w:after="0" w:line="240" w:lineRule="auto"/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八、督導及考核</w:t>
      </w:r>
    </w:p>
    <w:p w:rsidR="00B959FC" w:rsidRDefault="00715AC9">
      <w:pPr>
        <w:spacing w:after="0" w:line="240" w:lineRule="auto"/>
        <w:ind w:left="830" w:hanging="720"/>
        <w:jc w:val="both"/>
      </w:pPr>
      <w:r>
        <w:rPr>
          <w:rFonts w:ascii="標楷體" w:eastAsia="標楷體" w:hAnsi="標楷體" w:cs="標楷體"/>
          <w:color w:val="000000"/>
          <w:sz w:val="24"/>
          <w:szCs w:val="24"/>
          <w:lang w:bidi="ar-SA"/>
        </w:rPr>
        <w:t xml:space="preserve"> </w:t>
      </w: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(</w:t>
      </w:r>
      <w:proofErr w:type="gramStart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一</w:t>
      </w:r>
      <w:proofErr w:type="gramEnd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 xml:space="preserve">) </w:t>
      </w:r>
      <w:proofErr w:type="gramStart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本館得定期</w:t>
      </w:r>
      <w:proofErr w:type="gramEnd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或不定期對核定補助案件進行實地抽查，審查考核補助成效、經費運用及相關支出憑證是否符合規定。</w:t>
      </w:r>
    </w:p>
    <w:p w:rsidR="00B959FC" w:rsidRDefault="00715AC9">
      <w:pPr>
        <w:spacing w:after="0" w:line="240" w:lineRule="auto"/>
        <w:ind w:left="830" w:hanging="720"/>
        <w:jc w:val="both"/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（二）受補助對象，辦理成果績效</w:t>
      </w:r>
      <w:proofErr w:type="gramStart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不</w:t>
      </w:r>
      <w:proofErr w:type="gramEnd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彰、或未於期限內填報成果報告、或未於期限內辦妥核銷、或違反其他相關法令及規定者，得依情節輕重停止補助一年至三年。</w:t>
      </w:r>
    </w:p>
    <w:p w:rsidR="00B959FC" w:rsidRDefault="00715AC9">
      <w:pPr>
        <w:spacing w:after="0" w:line="240" w:lineRule="auto"/>
        <w:ind w:left="830" w:hanging="720"/>
        <w:jc w:val="both"/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lastRenderedPageBreak/>
        <w:t xml:space="preserve">（三）受補助對象，未依補助用途支用，或有虛報、浮報等情事者，除應繳回該部分之補助經費外，得依情節輕重停止補助一年至五年。 </w:t>
      </w:r>
    </w:p>
    <w:p w:rsidR="00B959FC" w:rsidRDefault="00715AC9">
      <w:pPr>
        <w:spacing w:after="0" w:line="240" w:lineRule="auto"/>
        <w:ind w:left="830" w:hanging="720"/>
        <w:jc w:val="both"/>
      </w:pPr>
      <w:r>
        <w:rPr>
          <w:rFonts w:ascii="標楷體" w:eastAsia="標楷體" w:hAnsi="標楷體" w:cs="標楷體"/>
          <w:color w:val="000000"/>
          <w:sz w:val="24"/>
          <w:szCs w:val="24"/>
          <w:lang w:bidi="ar-SA"/>
        </w:rPr>
        <w:t xml:space="preserve"> </w:t>
      </w: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(四)</w:t>
      </w:r>
      <w:r>
        <w:rPr>
          <w:color w:val="000000"/>
        </w:rPr>
        <w:t xml:space="preserve"> </w:t>
      </w: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本館辦理補助案件評審結果、委員名單與補助經費運用之執行督導事宜，應建立專責人員或內部管理小組落實資訊透明公開制度。</w:t>
      </w:r>
    </w:p>
    <w:p w:rsidR="00B959FC" w:rsidRPr="000413B5" w:rsidRDefault="00715AC9">
      <w:pPr>
        <w:spacing w:after="0" w:line="240" w:lineRule="auto"/>
        <w:rPr>
          <w:rFonts w:ascii="標楷體" w:eastAsia="標楷體" w:hAnsi="標楷體" w:cs="新細明體;PMingLiU"/>
          <w:b/>
          <w:color w:val="000000"/>
          <w:sz w:val="24"/>
          <w:szCs w:val="24"/>
          <w:lang w:bidi="ar-SA"/>
        </w:rPr>
      </w:pPr>
      <w:bookmarkStart w:id="0" w:name="_GoBack"/>
      <w:r w:rsidRPr="000413B5">
        <w:rPr>
          <w:rFonts w:ascii="標楷體" w:eastAsia="標楷體" w:hAnsi="標楷體" w:cs="新細明體;PMingLiU"/>
          <w:b/>
          <w:color w:val="000000"/>
          <w:sz w:val="24"/>
          <w:szCs w:val="24"/>
          <w:lang w:bidi="ar-SA"/>
        </w:rPr>
        <w:t>九、注意事項</w:t>
      </w:r>
    </w:p>
    <w:bookmarkEnd w:id="0"/>
    <w:p w:rsidR="00B959FC" w:rsidRDefault="00715AC9">
      <w:pPr>
        <w:spacing w:after="0" w:line="240" w:lineRule="auto"/>
        <w:ind w:left="830" w:hanging="720"/>
        <w:jc w:val="both"/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（一）補助款應專款專用，不得任意變更用途。計畫如有變更之必要或因故無法執行，應事先提報修正計畫送本館核定。</w:t>
      </w:r>
    </w:p>
    <w:p w:rsidR="00B959FC" w:rsidRDefault="00715AC9">
      <w:pPr>
        <w:spacing w:after="0" w:line="240" w:lineRule="auto"/>
        <w:ind w:left="830" w:hanging="720"/>
        <w:jc w:val="both"/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（二）同一案件向二個以上機關提出申請補助，應列明全部經費內容，及向各機關申請補助之項目及金額。如有隱匿不</w:t>
      </w:r>
      <w:proofErr w:type="gramStart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實或造假</w:t>
      </w:r>
      <w:proofErr w:type="gramEnd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情事，應撤銷該補助案件，並收回已撥付款項。</w:t>
      </w:r>
    </w:p>
    <w:p w:rsidR="00B959FC" w:rsidRDefault="00715AC9">
      <w:pPr>
        <w:spacing w:after="0" w:line="240" w:lineRule="auto"/>
        <w:ind w:left="710" w:hanging="600"/>
        <w:jc w:val="both"/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（三）核定補助經費如涉及採購事項，應依政府採購法第四條等相關規定辦理。</w:t>
      </w:r>
    </w:p>
    <w:p w:rsidR="00B959FC" w:rsidRDefault="00715AC9">
      <w:pPr>
        <w:spacing w:after="0" w:line="240" w:lineRule="auto"/>
        <w:ind w:left="830" w:hanging="720"/>
        <w:jc w:val="both"/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（四）核定補助經費結</w:t>
      </w:r>
      <w:proofErr w:type="gramStart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報時，所檢</w:t>
      </w:r>
      <w:proofErr w:type="gramEnd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附之支出憑證應依支出憑證處理要點規定辦理，並應詳列支出用途及全部實支經費總額，同一案件由二個以上機關補助者，應列明各機關實際補助金額。</w:t>
      </w:r>
    </w:p>
    <w:p w:rsidR="00B959FC" w:rsidRDefault="00715AC9">
      <w:pPr>
        <w:spacing w:after="0" w:line="240" w:lineRule="auto"/>
        <w:ind w:left="710" w:hanging="600"/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（五）核定補助案件結案時尚有結餘款，應按本館補助比例繳回</w:t>
      </w:r>
      <w:r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B959FC" w:rsidRDefault="00715AC9">
      <w:pPr>
        <w:spacing w:after="0" w:line="240" w:lineRule="auto"/>
        <w:ind w:left="830" w:hanging="720"/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（六）核定補助計畫如未執行，應照本館補助數額全數繳回。未依限</w:t>
      </w:r>
      <w:proofErr w:type="gramStart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繳回者</w:t>
      </w:r>
      <w:proofErr w:type="gramEnd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，本館將依法律途徑予以追繳。</w:t>
      </w:r>
    </w:p>
    <w:p w:rsidR="00B959FC" w:rsidRDefault="00715AC9">
      <w:pPr>
        <w:spacing w:after="0" w:line="240" w:lineRule="auto"/>
        <w:ind w:left="830" w:hanging="720"/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（七）受補助對象請將原始憑證影印留存，</w:t>
      </w:r>
      <w:proofErr w:type="gramStart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俾</w:t>
      </w:r>
      <w:proofErr w:type="gramEnd"/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做為填寫報稅資料之憑據及留作日後審計單位查核之依據。</w:t>
      </w:r>
    </w:p>
    <w:p w:rsidR="00B959FC" w:rsidRDefault="00715AC9">
      <w:pPr>
        <w:spacing w:after="0" w:line="240" w:lineRule="auto"/>
        <w:ind w:left="710" w:hanging="600"/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（八）受補助之民間團體及個人申請支付款項時，應本誠信原則對所提出支出憑證之支付事實及真實性負責，如有不實，應負相關責任。</w:t>
      </w:r>
    </w:p>
    <w:p w:rsidR="00B959FC" w:rsidRDefault="00715AC9">
      <w:pPr>
        <w:spacing w:after="0" w:line="240" w:lineRule="auto"/>
        <w:ind w:left="830" w:hanging="720"/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（九）受補助對象應將計畫及成果之詮釋資料（包含簡介描述文字、瀏覽小圖及片段影音）授權本館以開放資料（Open Data）之方式對外開放。</w:t>
      </w:r>
    </w:p>
    <w:p w:rsidR="00B959FC" w:rsidRDefault="00715AC9">
      <w:pPr>
        <w:spacing w:after="0" w:line="240" w:lineRule="auto"/>
        <w:ind w:firstLine="120"/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</w:pPr>
      <w:r>
        <w:rPr>
          <w:rFonts w:ascii="標楷體" w:eastAsia="標楷體" w:hAnsi="標楷體" w:cs="新細明體;PMingLiU"/>
          <w:color w:val="000000"/>
          <w:sz w:val="24"/>
          <w:szCs w:val="24"/>
          <w:lang w:bidi="ar-SA"/>
        </w:rPr>
        <w:t>（十）本補助作業要點未盡事宜，悉依文化部相關規定辦理。</w:t>
      </w:r>
    </w:p>
    <w:sectPr w:rsidR="00B959FC" w:rsidSect="00C37C18">
      <w:pgSz w:w="11906" w:h="16838"/>
      <w:pgMar w:top="851" w:right="1106" w:bottom="737" w:left="158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Std"/>
    <w:panose1 w:val="000004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;PMingLiU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767E0"/>
    <w:multiLevelType w:val="multilevel"/>
    <w:tmpl w:val="87C40EA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FC"/>
    <w:rsid w:val="000413B5"/>
    <w:rsid w:val="00715AC9"/>
    <w:rsid w:val="00B959FC"/>
    <w:rsid w:val="00C3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5146A-2733-43CA-AC6F-9DB20BA7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新細明體;PMingLiU" w:hAnsi="Calibri" w:cs="Times New Roman"/>
      <w:sz w:val="22"/>
      <w:szCs w:val="22"/>
      <w:lang w:bidi="en-US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u w:val="single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新細明體;PMingLiU"/>
      <w:sz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新細明體;PMingLiU"/>
      <w:sz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新細明體;PMingLiU"/>
      <w:sz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cs="新細明體;PMingLiU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10">
    <w:name w:val="標題 1 字元"/>
    <w:qFormat/>
    <w:rPr>
      <w:rFonts w:ascii="Cambria" w:eastAsia="新細明體;PMingLiU" w:hAnsi="Cambria" w:cs="Times New Roman"/>
      <w:b/>
      <w:bCs/>
      <w:color w:val="365F91"/>
      <w:sz w:val="28"/>
      <w:szCs w:val="28"/>
    </w:rPr>
  </w:style>
  <w:style w:type="character" w:customStyle="1" w:styleId="20">
    <w:name w:val="標題 2 字元"/>
    <w:qFormat/>
    <w:rPr>
      <w:rFonts w:ascii="Cambria" w:eastAsia="新細明體;PMingLiU" w:hAnsi="Cambria" w:cs="Times New Roman"/>
      <w:b/>
      <w:bCs/>
      <w:color w:val="4F81BD"/>
      <w:sz w:val="26"/>
      <w:szCs w:val="26"/>
    </w:rPr>
  </w:style>
  <w:style w:type="character" w:customStyle="1" w:styleId="30">
    <w:name w:val="標題 3 字元"/>
    <w:qFormat/>
    <w:rPr>
      <w:rFonts w:ascii="Cambria" w:eastAsia="新細明體;PMingLiU" w:hAnsi="Cambria" w:cs="Times New Roman"/>
      <w:b/>
      <w:bCs/>
      <w:color w:val="4F81BD"/>
    </w:rPr>
  </w:style>
  <w:style w:type="character" w:customStyle="1" w:styleId="40">
    <w:name w:val="標題 4 字元"/>
    <w:qFormat/>
    <w:rPr>
      <w:rFonts w:ascii="Cambria" w:eastAsia="新細明體;PMingLiU" w:hAnsi="Cambria" w:cs="Times New Roman"/>
      <w:b/>
      <w:bCs/>
      <w:i/>
      <w:iCs/>
      <w:color w:val="4F81BD"/>
    </w:rPr>
  </w:style>
  <w:style w:type="character" w:customStyle="1" w:styleId="50">
    <w:name w:val="標題 5 字元"/>
    <w:qFormat/>
    <w:rPr>
      <w:rFonts w:ascii="Cambria" w:eastAsia="新細明體;PMingLiU" w:hAnsi="Cambria" w:cs="Times New Roman"/>
      <w:color w:val="243F60"/>
    </w:rPr>
  </w:style>
  <w:style w:type="character" w:customStyle="1" w:styleId="60">
    <w:name w:val="標題 6 字元"/>
    <w:qFormat/>
    <w:rPr>
      <w:rFonts w:ascii="Cambria" w:eastAsia="新細明體;PMingLiU" w:hAnsi="Cambria" w:cs="Times New Roman"/>
      <w:i/>
      <w:iCs/>
      <w:color w:val="243F60"/>
    </w:rPr>
  </w:style>
  <w:style w:type="character" w:customStyle="1" w:styleId="70">
    <w:name w:val="標題 7 字元"/>
    <w:qFormat/>
    <w:rPr>
      <w:rFonts w:ascii="Cambria" w:eastAsia="新細明體;PMingLiU" w:hAnsi="Cambria" w:cs="Times New Roman"/>
      <w:i/>
      <w:iCs/>
      <w:color w:val="404040"/>
    </w:rPr>
  </w:style>
  <w:style w:type="character" w:customStyle="1" w:styleId="80">
    <w:name w:val="標題 8 字元"/>
    <w:qFormat/>
    <w:rPr>
      <w:rFonts w:ascii="Cambria" w:eastAsia="新細明體;PMingLiU" w:hAnsi="Cambria" w:cs="Times New Roman"/>
      <w:color w:val="4F81BD"/>
      <w:sz w:val="20"/>
      <w:szCs w:val="20"/>
    </w:rPr>
  </w:style>
  <w:style w:type="character" w:customStyle="1" w:styleId="90">
    <w:name w:val="標題 9 字元"/>
    <w:qFormat/>
    <w:rPr>
      <w:rFonts w:ascii="Cambria" w:eastAsia="新細明體;PMingLiU" w:hAnsi="Cambria" w:cs="Times New Roman"/>
      <w:i/>
      <w:iCs/>
      <w:color w:val="404040"/>
      <w:sz w:val="20"/>
      <w:szCs w:val="20"/>
    </w:rPr>
  </w:style>
  <w:style w:type="character" w:customStyle="1" w:styleId="a3">
    <w:name w:val="標題 字元"/>
    <w:qFormat/>
    <w:rPr>
      <w:rFonts w:ascii="Cambria" w:eastAsia="新細明體;PMingLiU" w:hAnsi="Cambria" w:cs="Times New Roman"/>
      <w:color w:val="17365D"/>
      <w:spacing w:val="5"/>
      <w:kern w:val="2"/>
      <w:sz w:val="52"/>
      <w:szCs w:val="52"/>
    </w:rPr>
  </w:style>
  <w:style w:type="character" w:customStyle="1" w:styleId="a4">
    <w:name w:val="副標題 字元"/>
    <w:qFormat/>
    <w:rPr>
      <w:rFonts w:ascii="Cambria" w:eastAsia="新細明體;PMingLiU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特別強調"/>
    <w:qFormat/>
    <w:rPr>
      <w:b/>
      <w:bCs/>
    </w:rPr>
  </w:style>
  <w:style w:type="character" w:customStyle="1" w:styleId="a6">
    <w:name w:val="強調"/>
    <w:qFormat/>
    <w:rPr>
      <w:i/>
      <w:iCs/>
    </w:rPr>
  </w:style>
  <w:style w:type="character" w:customStyle="1" w:styleId="a7">
    <w:name w:val="引文 字元"/>
    <w:qFormat/>
    <w:rPr>
      <w:i/>
      <w:iCs/>
      <w:color w:val="000000"/>
    </w:rPr>
  </w:style>
  <w:style w:type="character" w:customStyle="1" w:styleId="a8">
    <w:name w:val="鮮明引文 字元"/>
    <w:qFormat/>
    <w:rPr>
      <w:b/>
      <w:bCs/>
      <w:i/>
      <w:iCs/>
      <w:color w:val="4F81BD"/>
    </w:rPr>
  </w:style>
  <w:style w:type="character" w:styleId="a9">
    <w:name w:val="Subtle Emphasis"/>
    <w:qFormat/>
    <w:rPr>
      <w:i/>
      <w:iCs/>
      <w:color w:val="808080"/>
    </w:rPr>
  </w:style>
  <w:style w:type="character" w:styleId="aa">
    <w:name w:val="Intense Emphasis"/>
    <w:qFormat/>
    <w:rPr>
      <w:b/>
      <w:bCs/>
      <w:i/>
      <w:iCs/>
      <w:color w:val="4F81BD"/>
    </w:rPr>
  </w:style>
  <w:style w:type="character" w:styleId="ab">
    <w:name w:val="Subtle Reference"/>
    <w:qFormat/>
    <w:rPr>
      <w:smallCaps/>
      <w:color w:val="C0504D"/>
      <w:u w:val="single"/>
    </w:rPr>
  </w:style>
  <w:style w:type="character" w:styleId="ac">
    <w:name w:val="Intense Reference"/>
    <w:qFormat/>
    <w:rPr>
      <w:b/>
      <w:bCs/>
      <w:smallCaps/>
      <w:color w:val="C0504D"/>
      <w:spacing w:val="5"/>
      <w:u w:val="single"/>
    </w:rPr>
  </w:style>
  <w:style w:type="character" w:styleId="ad">
    <w:name w:val="Book Title"/>
    <w:qFormat/>
    <w:rPr>
      <w:b/>
      <w:bCs/>
      <w:smallCaps/>
      <w:spacing w:val="5"/>
    </w:rPr>
  </w:style>
  <w:style w:type="character" w:customStyle="1" w:styleId="31">
    <w:name w:val="樣式3 字元"/>
    <w:qFormat/>
    <w:rPr>
      <w:rFonts w:ascii="Cambria" w:eastAsia="新細明體;PMingLiU" w:hAnsi="Cambria" w:cs="Times New Roman"/>
      <w:b w:val="0"/>
      <w:bCs w:val="0"/>
      <w:color w:val="365F91"/>
      <w:sz w:val="28"/>
      <w:szCs w:val="28"/>
    </w:rPr>
  </w:style>
  <w:style w:type="character" w:customStyle="1" w:styleId="ae">
    <w:name w:val="頁首 字元"/>
    <w:qFormat/>
    <w:rPr>
      <w:lang w:bidi="en-US"/>
    </w:rPr>
  </w:style>
  <w:style w:type="character" w:customStyle="1" w:styleId="af">
    <w:name w:val="頁尾 字元"/>
    <w:qFormat/>
    <w:rPr>
      <w:lang w:bidi="en-US"/>
    </w:rPr>
  </w:style>
  <w:style w:type="character" w:styleId="af0">
    <w:name w:val="page number"/>
    <w:basedOn w:val="a0"/>
  </w:style>
  <w:style w:type="character" w:customStyle="1" w:styleId="af1">
    <w:name w:val="註解方塊文字 字元"/>
    <w:qFormat/>
    <w:rPr>
      <w:rFonts w:ascii="Cambria" w:eastAsia="新細明體;PMingLiU" w:hAnsi="Cambria" w:cs="Times New Roman"/>
      <w:sz w:val="18"/>
      <w:szCs w:val="18"/>
      <w:lang w:bidi="en-US"/>
    </w:rPr>
  </w:style>
  <w:style w:type="paragraph" w:styleId="af2">
    <w:name w:val="Title"/>
    <w:basedOn w:val="a"/>
    <w:next w:val="a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af3">
    <w:name w:val="Body Text"/>
    <w:basedOn w:val="a"/>
    <w:pPr>
      <w:spacing w:after="140" w:line="288" w:lineRule="auto"/>
    </w:pPr>
  </w:style>
  <w:style w:type="paragraph" w:styleId="af4">
    <w:name w:val="List"/>
    <w:basedOn w:val="af3"/>
    <w:rPr>
      <w:rFonts w:cs="Mangal"/>
    </w:rPr>
  </w:style>
  <w:style w:type="paragraph" w:styleId="af5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6">
    <w:name w:val="索引"/>
    <w:basedOn w:val="a"/>
    <w:qFormat/>
    <w:pPr>
      <w:suppressLineNumbers/>
    </w:pPr>
    <w:rPr>
      <w:rFonts w:cs="Mangal"/>
    </w:rPr>
  </w:style>
  <w:style w:type="paragraph" w:styleId="af7">
    <w:name w:val="Subtitle"/>
    <w:basedOn w:val="a"/>
    <w:next w:val="a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8">
    <w:name w:val="No Spacing"/>
    <w:qFormat/>
    <w:rPr>
      <w:rFonts w:ascii="Calibri" w:eastAsia="新細明體;PMingLiU" w:hAnsi="Calibri" w:cs="Times New Roman"/>
      <w:sz w:val="22"/>
      <w:szCs w:val="22"/>
      <w:lang w:bidi="en-US"/>
    </w:rPr>
  </w:style>
  <w:style w:type="paragraph" w:styleId="af9">
    <w:name w:val="List Paragraph"/>
    <w:basedOn w:val="a"/>
    <w:qFormat/>
    <w:pPr>
      <w:ind w:left="720"/>
      <w:contextualSpacing/>
    </w:pPr>
  </w:style>
  <w:style w:type="paragraph" w:styleId="afa">
    <w:name w:val="Quote"/>
    <w:basedOn w:val="a"/>
    <w:next w:val="a"/>
    <w:qFormat/>
    <w:rPr>
      <w:i/>
      <w:iCs/>
      <w:color w:val="000000"/>
    </w:rPr>
  </w:style>
  <w:style w:type="paragraph" w:styleId="afb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c">
    <w:name w:val="toa heading"/>
    <w:basedOn w:val="1"/>
    <w:next w:val="a"/>
    <w:pPr>
      <w:numPr>
        <w:numId w:val="0"/>
      </w:numPr>
    </w:pPr>
  </w:style>
  <w:style w:type="paragraph" w:customStyle="1" w:styleId="32">
    <w:name w:val="樣式3"/>
    <w:basedOn w:val="1"/>
    <w:qFormat/>
    <w:pPr>
      <w:numPr>
        <w:numId w:val="0"/>
      </w:numPr>
    </w:pPr>
  </w:style>
  <w:style w:type="paragraph" w:styleId="Web">
    <w:name w:val="Normal (Web)"/>
    <w:basedOn w:val="a"/>
    <w:qFormat/>
    <w:pPr>
      <w:spacing w:before="280" w:after="280" w:line="240" w:lineRule="auto"/>
    </w:pPr>
    <w:rPr>
      <w:rFonts w:ascii="新細明體;PMingLiU" w:hAnsi="新細明體;PMingLiU" w:cs="新細明體;PMingLiU"/>
      <w:sz w:val="24"/>
      <w:szCs w:val="24"/>
      <w:lang w:bidi="ar-SA"/>
    </w:rPr>
  </w:style>
  <w:style w:type="paragraph" w:styleId="af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qFormat/>
    <w:pPr>
      <w:widowControl w:val="0"/>
      <w:spacing w:after="0" w:line="320" w:lineRule="exact"/>
      <w:ind w:left="2237" w:hanging="1903"/>
    </w:pPr>
    <w:rPr>
      <w:rFonts w:ascii="標楷體" w:eastAsia="標楷體" w:hAnsi="標楷體" w:cs="標楷體"/>
      <w:color w:val="000000"/>
      <w:kern w:val="2"/>
      <w:sz w:val="24"/>
      <w:szCs w:val="24"/>
      <w:lang w:bidi="ar-SA"/>
    </w:rPr>
  </w:style>
  <w:style w:type="paragraph" w:styleId="aff">
    <w:name w:val="Balloon Text"/>
    <w:basedOn w:val="a"/>
    <w:qFormat/>
    <w:pPr>
      <w:spacing w:after="0" w:line="240" w:lineRule="auto"/>
    </w:pPr>
    <w:rPr>
      <w:rFonts w:ascii="Cambria" w:hAnsi="Cambria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國立新竹生活美學館經費補（捐）助作業規範</dc:title>
  <dc:subject/>
  <dc:creator>user</dc:creator>
  <dc:description/>
  <cp:lastModifiedBy>楊惠婷</cp:lastModifiedBy>
  <cp:revision>4</cp:revision>
  <cp:lastPrinted>2016-11-18T16:52:00Z</cp:lastPrinted>
  <dcterms:created xsi:type="dcterms:W3CDTF">2021-05-19T08:10:00Z</dcterms:created>
  <dcterms:modified xsi:type="dcterms:W3CDTF">2022-04-22T05:33:00Z</dcterms:modified>
  <dc:language>zh-TW</dc:language>
</cp:coreProperties>
</file>